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FC9D" w14:textId="77777777" w:rsidR="00BC313A" w:rsidRDefault="00B946D4" w:rsidP="00B365E3">
      <w:r>
        <w:rPr>
          <w:noProof/>
          <w:lang w:eastAsia="en-GB"/>
        </w:rPr>
        <w:drawing>
          <wp:anchor distT="0" distB="0" distL="114300" distR="114300" simplePos="0" relativeHeight="251657728" behindDoc="0" locked="0" layoutInCell="1" allowOverlap="1" wp14:anchorId="38A0E0BD" wp14:editId="0EDA7B7E">
            <wp:simplePos x="0" y="0"/>
            <wp:positionH relativeFrom="column">
              <wp:posOffset>5200650</wp:posOffset>
            </wp:positionH>
            <wp:positionV relativeFrom="paragraph">
              <wp:posOffset>0</wp:posOffset>
            </wp:positionV>
            <wp:extent cx="942975" cy="1257300"/>
            <wp:effectExtent l="0" t="0" r="9525" b="0"/>
            <wp:wrapSquare wrapText="left"/>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426"/>
        <w:gridCol w:w="2012"/>
        <w:gridCol w:w="6407"/>
      </w:tblGrid>
      <w:tr w:rsidR="00BB4116" w14:paraId="2EC2ADE7" w14:textId="77777777" w:rsidTr="00BB4116">
        <w:tc>
          <w:tcPr>
            <w:tcW w:w="2438" w:type="dxa"/>
            <w:gridSpan w:val="2"/>
            <w:hideMark/>
          </w:tcPr>
          <w:p w14:paraId="163A0C59" w14:textId="77777777" w:rsidR="00B12E70" w:rsidRPr="009869E0" w:rsidRDefault="00B12E70" w:rsidP="00B365E3">
            <w:pPr>
              <w:rPr>
                <w:rStyle w:val="Firstpagetablebold"/>
                <w:sz w:val="8"/>
                <w:szCs w:val="8"/>
              </w:rPr>
            </w:pPr>
          </w:p>
          <w:p w14:paraId="4BF868CE" w14:textId="77777777" w:rsidR="00BB4116" w:rsidRDefault="00BB4116" w:rsidP="00B365E3">
            <w:pPr>
              <w:rPr>
                <w:rStyle w:val="Firstpagetablebold"/>
              </w:rPr>
            </w:pPr>
            <w:r>
              <w:rPr>
                <w:rStyle w:val="Firstpagetablebold"/>
              </w:rPr>
              <w:t>To:</w:t>
            </w:r>
          </w:p>
          <w:p w14:paraId="13D982B3" w14:textId="77777777" w:rsidR="003C531A" w:rsidRDefault="003323A8" w:rsidP="00B365E3">
            <w:pPr>
              <w:rPr>
                <w:rStyle w:val="Firstpagetablebold"/>
                <w:rFonts w:cs="Times New Roman"/>
              </w:rPr>
            </w:pPr>
            <w:r>
              <w:rPr>
                <w:rStyle w:val="Firstpagetablebold"/>
                <w:rFonts w:cs="Times New Roman"/>
              </w:rPr>
              <w:t>Date:</w:t>
            </w:r>
          </w:p>
        </w:tc>
        <w:tc>
          <w:tcPr>
            <w:tcW w:w="6407" w:type="dxa"/>
            <w:hideMark/>
          </w:tcPr>
          <w:p w14:paraId="1A77DB08" w14:textId="77777777" w:rsidR="00B12E70" w:rsidRPr="009869E0" w:rsidRDefault="00B12E70" w:rsidP="00B365E3">
            <w:pPr>
              <w:rPr>
                <w:rStyle w:val="Firstpagetablebold"/>
                <w:sz w:val="8"/>
                <w:szCs w:val="8"/>
              </w:rPr>
            </w:pPr>
          </w:p>
          <w:p w14:paraId="031A78C2" w14:textId="6555ED92" w:rsidR="0077249A" w:rsidRDefault="00872697" w:rsidP="003C531A">
            <w:pPr>
              <w:rPr>
                <w:rStyle w:val="Firstpagetablebold"/>
              </w:rPr>
            </w:pPr>
            <w:r>
              <w:rPr>
                <w:rStyle w:val="Firstpagetablebold"/>
              </w:rPr>
              <w:t>Council</w:t>
            </w:r>
          </w:p>
          <w:p w14:paraId="29975C75" w14:textId="4503435F" w:rsidR="003C531A" w:rsidRDefault="00851853" w:rsidP="007A7741">
            <w:pPr>
              <w:rPr>
                <w:rStyle w:val="Firstpagetablebold"/>
              </w:rPr>
            </w:pPr>
            <w:r>
              <w:rPr>
                <w:rStyle w:val="Firstpagetablebold"/>
              </w:rPr>
              <w:t>27 November</w:t>
            </w:r>
            <w:r w:rsidR="009A7B7D">
              <w:rPr>
                <w:rStyle w:val="Firstpagetablebold"/>
              </w:rPr>
              <w:t xml:space="preserve"> 2023</w:t>
            </w:r>
          </w:p>
        </w:tc>
      </w:tr>
      <w:tr w:rsidR="00BB4116" w14:paraId="4E155807" w14:textId="77777777" w:rsidTr="00BB4116">
        <w:tc>
          <w:tcPr>
            <w:tcW w:w="2438" w:type="dxa"/>
            <w:gridSpan w:val="2"/>
            <w:hideMark/>
          </w:tcPr>
          <w:p w14:paraId="7D9646A3" w14:textId="77777777" w:rsidR="00BB4116" w:rsidRDefault="00BB4116" w:rsidP="00B365E3">
            <w:pPr>
              <w:rPr>
                <w:rStyle w:val="Firstpagetablebold"/>
                <w:rFonts w:cs="Times New Roman"/>
              </w:rPr>
            </w:pPr>
            <w:r>
              <w:rPr>
                <w:rStyle w:val="Firstpagetablebold"/>
              </w:rPr>
              <w:t>Report of:</w:t>
            </w:r>
          </w:p>
        </w:tc>
        <w:tc>
          <w:tcPr>
            <w:tcW w:w="6407" w:type="dxa"/>
            <w:hideMark/>
          </w:tcPr>
          <w:p w14:paraId="0920E59C" w14:textId="76542815" w:rsidR="00BB4116" w:rsidRDefault="00872697" w:rsidP="00B365E3">
            <w:pPr>
              <w:rPr>
                <w:rStyle w:val="Firstpagetablebold"/>
              </w:rPr>
            </w:pPr>
            <w:r>
              <w:rPr>
                <w:rStyle w:val="Firstpagetablebold"/>
              </w:rPr>
              <w:t>Head of Law and Governance</w:t>
            </w:r>
          </w:p>
        </w:tc>
      </w:tr>
      <w:tr w:rsidR="00BB4116" w14:paraId="000E3872" w14:textId="77777777" w:rsidTr="00BB4116">
        <w:tc>
          <w:tcPr>
            <w:tcW w:w="2438" w:type="dxa"/>
            <w:gridSpan w:val="2"/>
            <w:hideMark/>
          </w:tcPr>
          <w:p w14:paraId="23DEF3E3" w14:textId="77777777" w:rsidR="00BB4116" w:rsidRDefault="00BB4116" w:rsidP="00B365E3">
            <w:pPr>
              <w:rPr>
                <w:rStyle w:val="Firstpagetablebold"/>
              </w:rPr>
            </w:pPr>
            <w:r>
              <w:rPr>
                <w:rStyle w:val="Firstpagetablebold"/>
              </w:rPr>
              <w:t xml:space="preserve">Title of Report: </w:t>
            </w:r>
          </w:p>
        </w:tc>
        <w:tc>
          <w:tcPr>
            <w:tcW w:w="6407" w:type="dxa"/>
          </w:tcPr>
          <w:p w14:paraId="3B3F2228" w14:textId="6F4F2C52" w:rsidR="00BB4116" w:rsidRDefault="00BB4116" w:rsidP="00872697">
            <w:pPr>
              <w:rPr>
                <w:rStyle w:val="Firstpagetablebold"/>
                <w:sz w:val="8"/>
              </w:rPr>
            </w:pPr>
            <w:r>
              <w:rPr>
                <w:rStyle w:val="Firstpagetablebold"/>
              </w:rPr>
              <w:t>D</w:t>
            </w:r>
            <w:r w:rsidRPr="00BB4116">
              <w:rPr>
                <w:rStyle w:val="Firstpagetablebold"/>
              </w:rPr>
              <w:t>ec</w:t>
            </w:r>
            <w:r w:rsidR="003C531A">
              <w:rPr>
                <w:rStyle w:val="Firstpagetablebold"/>
              </w:rPr>
              <w:t>ision</w:t>
            </w:r>
            <w:r w:rsidR="007C397B">
              <w:rPr>
                <w:rStyle w:val="Firstpagetablebold"/>
              </w:rPr>
              <w:t>s</w:t>
            </w:r>
            <w:r w:rsidR="00D64BDE">
              <w:rPr>
                <w:rStyle w:val="Firstpagetablebold"/>
              </w:rPr>
              <w:t xml:space="preserve"> taken under Part</w:t>
            </w:r>
            <w:r w:rsidR="00B12E70">
              <w:rPr>
                <w:rStyle w:val="Firstpagetablebold"/>
              </w:rPr>
              <w:t xml:space="preserve"> </w:t>
            </w:r>
            <w:r w:rsidR="00872697">
              <w:rPr>
                <w:rStyle w:val="Firstpagetablebold"/>
              </w:rPr>
              <w:t>17.9</w:t>
            </w:r>
            <w:r w:rsidR="00DC3B68">
              <w:rPr>
                <w:rStyle w:val="Firstpagetablebold"/>
              </w:rPr>
              <w:t xml:space="preserve"> </w:t>
            </w:r>
            <w:r w:rsidRPr="00BB4116">
              <w:rPr>
                <w:rStyle w:val="Firstpagetablebold"/>
              </w:rPr>
              <w:t>of the Constitution</w:t>
            </w:r>
          </w:p>
        </w:tc>
      </w:tr>
      <w:tr w:rsidR="00B12E70" w14:paraId="7140DD84" w14:textId="77777777" w:rsidTr="00BB4116">
        <w:tc>
          <w:tcPr>
            <w:tcW w:w="2438" w:type="dxa"/>
            <w:gridSpan w:val="2"/>
          </w:tcPr>
          <w:p w14:paraId="3C980DB5" w14:textId="77777777" w:rsidR="00B12E70" w:rsidRPr="00997C3E" w:rsidRDefault="00B12E70" w:rsidP="00B365E3">
            <w:pPr>
              <w:rPr>
                <w:rStyle w:val="Firstpagetablebold"/>
                <w:sz w:val="8"/>
                <w:szCs w:val="8"/>
              </w:rPr>
            </w:pPr>
          </w:p>
        </w:tc>
        <w:tc>
          <w:tcPr>
            <w:tcW w:w="6407" w:type="dxa"/>
          </w:tcPr>
          <w:p w14:paraId="3052BD9C" w14:textId="77777777" w:rsidR="00B12E70" w:rsidRPr="009869E0" w:rsidRDefault="00B12E70" w:rsidP="00D35A7A">
            <w:pPr>
              <w:rPr>
                <w:rStyle w:val="Firstpagetablebold"/>
                <w:sz w:val="8"/>
                <w:szCs w:val="8"/>
              </w:rPr>
            </w:pPr>
          </w:p>
        </w:tc>
      </w:tr>
      <w:tr w:rsidR="00BB4116" w14:paraId="017ACEA1" w14:textId="77777777" w:rsidTr="00BB4116">
        <w:tc>
          <w:tcPr>
            <w:tcW w:w="8845" w:type="dxa"/>
            <w:gridSpan w:val="3"/>
            <w:tcBorders>
              <w:top w:val="single" w:sz="8" w:space="0" w:color="000000"/>
              <w:left w:val="single" w:sz="8" w:space="0" w:color="000000"/>
              <w:bottom w:val="single" w:sz="8" w:space="0" w:color="000000"/>
              <w:right w:val="single" w:sz="8" w:space="0" w:color="000000"/>
            </w:tcBorders>
            <w:hideMark/>
          </w:tcPr>
          <w:p w14:paraId="607EF49B" w14:textId="77777777" w:rsidR="00BB4116" w:rsidRDefault="00BB4116" w:rsidP="00B365E3">
            <w:pPr>
              <w:rPr>
                <w:rStyle w:val="Firstpagetablebold"/>
              </w:rPr>
            </w:pPr>
            <w:r>
              <w:rPr>
                <w:rStyle w:val="Firstpagetablebold"/>
              </w:rPr>
              <w:t>Summary and recommendations</w:t>
            </w:r>
          </w:p>
        </w:tc>
      </w:tr>
      <w:tr w:rsidR="00BB4116" w14:paraId="2A308CA3" w14:textId="77777777" w:rsidTr="00BB4116">
        <w:tc>
          <w:tcPr>
            <w:tcW w:w="2438" w:type="dxa"/>
            <w:gridSpan w:val="2"/>
            <w:tcBorders>
              <w:top w:val="single" w:sz="8" w:space="0" w:color="000000"/>
              <w:left w:val="single" w:sz="8" w:space="0" w:color="000000"/>
              <w:bottom w:val="nil"/>
              <w:right w:val="nil"/>
            </w:tcBorders>
            <w:hideMark/>
          </w:tcPr>
          <w:p w14:paraId="5F55B4AD" w14:textId="77777777" w:rsidR="00BB4116" w:rsidRDefault="00BB4116" w:rsidP="00B365E3">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760147E8" w14:textId="3AC89E6C" w:rsidR="00BB4116" w:rsidRDefault="0077249A" w:rsidP="0001361B">
            <w:r>
              <w:t xml:space="preserve">Council </w:t>
            </w:r>
            <w:r w:rsidR="003323A8">
              <w:t>is</w:t>
            </w:r>
            <w:r w:rsidR="003C531A">
              <w:t xml:space="preserve"> asked to note the decision</w:t>
            </w:r>
            <w:r w:rsidR="00BB4116">
              <w:t xml:space="preserve"> taken</w:t>
            </w:r>
            <w:r w:rsidR="0001361B">
              <w:t xml:space="preserve"> by the Executive Director (Development)</w:t>
            </w:r>
            <w:r w:rsidR="00872697">
              <w:t xml:space="preserve"> under the provisions </w:t>
            </w:r>
            <w:r w:rsidR="0001361B">
              <w:t>in</w:t>
            </w:r>
            <w:r w:rsidR="00872697">
              <w:t xml:space="preserve"> Part 17.9 of the Constitution</w:t>
            </w:r>
            <w:r w:rsidR="003D56D2">
              <w:t>.</w:t>
            </w:r>
            <w:r w:rsidR="00BB4116">
              <w:t xml:space="preserve"> </w:t>
            </w:r>
          </w:p>
        </w:tc>
      </w:tr>
      <w:tr w:rsidR="00BB4116" w14:paraId="6AF6E942" w14:textId="77777777" w:rsidTr="00BB4116">
        <w:trPr>
          <w:trHeight w:val="413"/>
        </w:trPr>
        <w:tc>
          <w:tcPr>
            <w:tcW w:w="8845" w:type="dxa"/>
            <w:gridSpan w:val="3"/>
            <w:tcBorders>
              <w:top w:val="single" w:sz="8" w:space="0" w:color="000000"/>
              <w:left w:val="single" w:sz="8" w:space="0" w:color="000000"/>
              <w:bottom w:val="single" w:sz="8" w:space="0" w:color="000000"/>
              <w:right w:val="single" w:sz="8" w:space="0" w:color="000000"/>
            </w:tcBorders>
            <w:hideMark/>
          </w:tcPr>
          <w:p w14:paraId="23901EB6" w14:textId="59E836DE" w:rsidR="00BB4116" w:rsidRDefault="001D2597" w:rsidP="00094A2B">
            <w:r>
              <w:rPr>
                <w:rStyle w:val="Firstpagetablebold"/>
              </w:rPr>
              <w:t>Recommendation</w:t>
            </w:r>
            <w:r w:rsidR="00BB4116">
              <w:rPr>
                <w:rStyle w:val="Firstpagetablebold"/>
              </w:rPr>
              <w:t xml:space="preserve">: </w:t>
            </w:r>
            <w:r w:rsidR="003323A8" w:rsidRPr="003323A8">
              <w:rPr>
                <w:rStyle w:val="Firstpagetablebold"/>
              </w:rPr>
              <w:t xml:space="preserve">That </w:t>
            </w:r>
            <w:r w:rsidR="00094A2B">
              <w:rPr>
                <w:rStyle w:val="Firstpagetablebold"/>
              </w:rPr>
              <w:t>Council</w:t>
            </w:r>
            <w:r w:rsidR="003323A8" w:rsidRPr="003323A8">
              <w:rPr>
                <w:rStyle w:val="Firstpagetablebold"/>
              </w:rPr>
              <w:t xml:space="preserve"> resolves to:</w:t>
            </w:r>
          </w:p>
        </w:tc>
      </w:tr>
      <w:tr w:rsidR="00BB4116" w14:paraId="5F6DA398" w14:textId="77777777" w:rsidTr="00BB4116">
        <w:trPr>
          <w:trHeight w:val="283"/>
        </w:trPr>
        <w:tc>
          <w:tcPr>
            <w:tcW w:w="426" w:type="dxa"/>
            <w:tcBorders>
              <w:top w:val="nil"/>
              <w:left w:val="single" w:sz="8" w:space="0" w:color="000000"/>
              <w:bottom w:val="single" w:sz="8" w:space="0" w:color="000000"/>
              <w:right w:val="nil"/>
            </w:tcBorders>
            <w:hideMark/>
          </w:tcPr>
          <w:p w14:paraId="1D5F6B36" w14:textId="77777777" w:rsidR="00BB4116" w:rsidRDefault="00BB4116" w:rsidP="00B365E3">
            <w:pPr>
              <w:rPr>
                <w:color w:val="000000"/>
              </w:rPr>
            </w:pPr>
            <w:r>
              <w:t>1.</w:t>
            </w:r>
          </w:p>
        </w:tc>
        <w:tc>
          <w:tcPr>
            <w:tcW w:w="8419" w:type="dxa"/>
            <w:gridSpan w:val="2"/>
            <w:tcBorders>
              <w:top w:val="nil"/>
              <w:left w:val="nil"/>
              <w:bottom w:val="single" w:sz="8" w:space="0" w:color="000000"/>
              <w:right w:val="single" w:sz="8" w:space="0" w:color="000000"/>
            </w:tcBorders>
            <w:hideMark/>
          </w:tcPr>
          <w:p w14:paraId="70A0AF2F" w14:textId="77777777" w:rsidR="00C268EB" w:rsidRPr="00C268EB" w:rsidRDefault="003C531A" w:rsidP="003323A8">
            <w:pPr>
              <w:rPr>
                <w:rFonts w:cs="Arial"/>
                <w:b/>
              </w:rPr>
            </w:pPr>
            <w:r>
              <w:rPr>
                <w:rStyle w:val="Firstpagetablebold"/>
              </w:rPr>
              <w:t xml:space="preserve">Note </w:t>
            </w:r>
            <w:r w:rsidRPr="001D2597">
              <w:rPr>
                <w:rStyle w:val="Firstpagetablebold"/>
                <w:b w:val="0"/>
              </w:rPr>
              <w:t>the decision</w:t>
            </w:r>
            <w:r w:rsidR="00C268EB" w:rsidRPr="001D2597">
              <w:rPr>
                <w:rStyle w:val="Firstpagetablebold"/>
                <w:b w:val="0"/>
              </w:rPr>
              <w:t xml:space="preserve"> taken as set out in the report</w:t>
            </w:r>
            <w:r w:rsidR="003323A8">
              <w:rPr>
                <w:rStyle w:val="Firstpagetablebold"/>
                <w:b w:val="0"/>
              </w:rPr>
              <w:t>.</w:t>
            </w:r>
          </w:p>
        </w:tc>
      </w:tr>
    </w:tbl>
    <w:p w14:paraId="0C29F270" w14:textId="77777777" w:rsidR="00BC313A" w:rsidRPr="00997C3E" w:rsidRDefault="00BC313A" w:rsidP="00B365E3">
      <w:pPr>
        <w:rPr>
          <w:rFonts w:eastAsia="Arial Unicode M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CC2D82" w:rsidRPr="00CC2D82" w14:paraId="6634DD2A" w14:textId="77777777" w:rsidTr="00CC2D82">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40465B99" w14:textId="77777777" w:rsidR="00CC2D82" w:rsidRPr="00CC2D82" w:rsidRDefault="00CC2D82" w:rsidP="003323A8">
            <w:pPr>
              <w:jc w:val="center"/>
              <w:rPr>
                <w:rFonts w:eastAsia="Arial Unicode MS"/>
              </w:rPr>
            </w:pPr>
            <w:r w:rsidRPr="00CC2D82">
              <w:rPr>
                <w:rFonts w:eastAsia="Arial Unicode MS"/>
                <w:b/>
              </w:rPr>
              <w:t>Appendices</w:t>
            </w:r>
          </w:p>
        </w:tc>
      </w:tr>
      <w:tr w:rsidR="003323A8" w:rsidRPr="00CC2D82" w14:paraId="72F3DDD4" w14:textId="77777777" w:rsidTr="007F31D2">
        <w:trPr>
          <w:trHeight w:val="312"/>
        </w:trPr>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5157345" w14:textId="77777777" w:rsidR="003323A8" w:rsidRPr="00CC2D82" w:rsidRDefault="003323A8" w:rsidP="003323A8">
            <w:pPr>
              <w:jc w:val="center"/>
              <w:rPr>
                <w:rFonts w:eastAsia="Arial Unicode MS"/>
              </w:rPr>
            </w:pPr>
            <w:r>
              <w:rPr>
                <w:rFonts w:eastAsia="Arial Unicode MS"/>
              </w:rPr>
              <w:t>None</w:t>
            </w:r>
          </w:p>
        </w:tc>
      </w:tr>
    </w:tbl>
    <w:p w14:paraId="1091FDF6" w14:textId="77777777" w:rsidR="00CC2D82" w:rsidRDefault="00CC2D82" w:rsidP="0034201F">
      <w:pPr>
        <w:spacing w:after="0"/>
        <w:rPr>
          <w:rFonts w:eastAsia="Arial Unicode MS"/>
        </w:rPr>
      </w:pPr>
    </w:p>
    <w:p w14:paraId="4BC8883B" w14:textId="77777777" w:rsidR="00BB4116" w:rsidRPr="00BB4116" w:rsidRDefault="00BB4116" w:rsidP="00B365E3">
      <w:pPr>
        <w:pStyle w:val="Heading1"/>
      </w:pPr>
      <w:r w:rsidRPr="00BB4116">
        <w:t>Introduction and background</w:t>
      </w:r>
    </w:p>
    <w:p w14:paraId="671F0C4F" w14:textId="6CF61492" w:rsidR="00BB4116" w:rsidRDefault="00BB4116" w:rsidP="003323A8">
      <w:pPr>
        <w:pStyle w:val="ListParagraph"/>
        <w:ind w:left="426" w:hanging="426"/>
        <w:jc w:val="both"/>
      </w:pPr>
      <w:r w:rsidRPr="00BB4116">
        <w:t xml:space="preserve">This report </w:t>
      </w:r>
      <w:r w:rsidR="00ED0FD4">
        <w:t xml:space="preserve">updates </w:t>
      </w:r>
      <w:r w:rsidR="0001361B">
        <w:t>Council</w:t>
      </w:r>
      <w:r w:rsidR="0077249A">
        <w:t xml:space="preserve"> </w:t>
      </w:r>
      <w:r w:rsidR="00ED0FD4">
        <w:t>on</w:t>
      </w:r>
      <w:r w:rsidR="002E3B5C">
        <w:t xml:space="preserve"> a</w:t>
      </w:r>
      <w:r w:rsidR="00ED0FD4">
        <w:t xml:space="preserve"> </w:t>
      </w:r>
      <w:r w:rsidR="003C531A">
        <w:t>decision</w:t>
      </w:r>
      <w:r w:rsidR="00B365E3">
        <w:t xml:space="preserve"> taken </w:t>
      </w:r>
      <w:r w:rsidR="003D56D2">
        <w:t>by the Head of Paid Service</w:t>
      </w:r>
      <w:r w:rsidR="00DB59F5">
        <w:t xml:space="preserve"> (Chief Executive</w:t>
      </w:r>
      <w:r w:rsidR="003D56D2">
        <w:t xml:space="preserve">) </w:t>
      </w:r>
      <w:r w:rsidR="0001361B">
        <w:t>under the provisions</w:t>
      </w:r>
      <w:r w:rsidR="00B365E3">
        <w:t xml:space="preserve"> in</w:t>
      </w:r>
      <w:r w:rsidR="00BB5A0C">
        <w:t xml:space="preserve"> Part </w:t>
      </w:r>
      <w:r w:rsidR="0001361B">
        <w:t>17.9</w:t>
      </w:r>
      <w:r w:rsidR="00BB5A0C">
        <w:t xml:space="preserve"> of</w:t>
      </w:r>
      <w:r w:rsidR="00B365E3">
        <w:t xml:space="preserve"> the Council’</w:t>
      </w:r>
      <w:r w:rsidR="00D35A7A">
        <w:t>s Constitution</w:t>
      </w:r>
      <w:r w:rsidR="00ED0FD4">
        <w:t>.</w:t>
      </w:r>
    </w:p>
    <w:p w14:paraId="31BF6187" w14:textId="71F7D8F6" w:rsidR="0001361B" w:rsidRDefault="000C3011" w:rsidP="0001361B">
      <w:pPr>
        <w:pStyle w:val="ListParagraph"/>
        <w:spacing w:after="0"/>
        <w:ind w:left="426" w:hanging="426"/>
        <w:jc w:val="both"/>
      </w:pPr>
      <w:r w:rsidRPr="000C3011">
        <w:t>Where</w:t>
      </w:r>
      <w:r w:rsidR="005C1B66">
        <w:t xml:space="preserve"> </w:t>
      </w:r>
      <w:r w:rsidR="0001361B">
        <w:t xml:space="preserve">the provisions under Part 17.9 are </w:t>
      </w:r>
      <w:r w:rsidRPr="000C3011">
        <w:t>use</w:t>
      </w:r>
      <w:r w:rsidR="0001361B">
        <w:t>d the Constitution requires that the decision must be reported to the next ordinary Council meeting with the reasons why it was urgent.</w:t>
      </w:r>
    </w:p>
    <w:p w14:paraId="4C4B4CCD" w14:textId="77777777" w:rsidR="0001361B" w:rsidRDefault="0001361B" w:rsidP="0001361B">
      <w:pPr>
        <w:pStyle w:val="ListParagraph"/>
        <w:numPr>
          <w:ilvl w:val="0"/>
          <w:numId w:val="0"/>
        </w:numPr>
        <w:spacing w:after="0"/>
        <w:ind w:left="426"/>
        <w:jc w:val="both"/>
      </w:pPr>
    </w:p>
    <w:p w14:paraId="0AFE4EA8" w14:textId="54AF2448" w:rsidR="000C3011" w:rsidRPr="005C1B66" w:rsidRDefault="003C531A" w:rsidP="005C1B66">
      <w:pPr>
        <w:rPr>
          <w:b/>
        </w:rPr>
      </w:pPr>
      <w:r>
        <w:rPr>
          <w:b/>
        </w:rPr>
        <w:t>Decision</w:t>
      </w:r>
      <w:r w:rsidR="00180C5D">
        <w:rPr>
          <w:b/>
        </w:rPr>
        <w:t>s</w:t>
      </w:r>
      <w:r w:rsidR="005C1B66" w:rsidRPr="005C1B66">
        <w:rPr>
          <w:b/>
        </w:rPr>
        <w:t xml:space="preserve"> taken </w:t>
      </w:r>
      <w:r w:rsidR="0001361B">
        <w:rPr>
          <w:b/>
        </w:rPr>
        <w:t>under Part 17.9</w:t>
      </w:r>
    </w:p>
    <w:p w14:paraId="5E0FC2DC" w14:textId="76424AEE" w:rsidR="0001361B" w:rsidRDefault="003C531A" w:rsidP="003F0C65">
      <w:pPr>
        <w:pStyle w:val="ListParagraph"/>
        <w:ind w:left="426" w:hanging="426"/>
        <w:jc w:val="both"/>
      </w:pPr>
      <w:r>
        <w:t>The following decision ha</w:t>
      </w:r>
      <w:r w:rsidR="00AD66DD">
        <w:t>s</w:t>
      </w:r>
      <w:r w:rsidR="000C3011">
        <w:t xml:space="preserve"> been taken </w:t>
      </w:r>
      <w:r w:rsidR="0001361B">
        <w:t>under the provisions in Part 17.9 of the Constitution. Council is asked to note the decision.</w:t>
      </w:r>
    </w:p>
    <w:p w14:paraId="2CAE5084" w14:textId="79BEF24D" w:rsidR="00ED0FD4" w:rsidRDefault="00ED0FD4" w:rsidP="003F0C65">
      <w:pPr>
        <w:pStyle w:val="ListParagraph"/>
        <w:spacing w:after="0"/>
        <w:ind w:left="425" w:hanging="425"/>
        <w:jc w:val="both"/>
      </w:pPr>
      <w:r>
        <w:t xml:space="preserve">This report does not include decisions taken </w:t>
      </w:r>
      <w:r w:rsidR="0001361B">
        <w:t>under the provisions of Part 17.9 of the Constitution</w:t>
      </w:r>
      <w:r>
        <w:t xml:space="preserve"> that</w:t>
      </w:r>
      <w:r w:rsidR="00C1481D">
        <w:t xml:space="preserve"> </w:t>
      </w:r>
      <w:r w:rsidR="00E348EB">
        <w:t xml:space="preserve">have previously been reported to </w:t>
      </w:r>
      <w:r w:rsidR="0001361B">
        <w:t>Council</w:t>
      </w:r>
      <w:r>
        <w:t>.</w:t>
      </w:r>
    </w:p>
    <w:p w14:paraId="3653B4A4" w14:textId="77777777" w:rsidR="00505CF6" w:rsidRDefault="00505CF6" w:rsidP="0034201F">
      <w:pPr>
        <w:pStyle w:val="ListParagraph"/>
        <w:numPr>
          <w:ilvl w:val="0"/>
          <w:numId w:val="0"/>
        </w:numPr>
        <w:spacing w:after="0"/>
        <w:ind w:left="357"/>
      </w:pPr>
    </w:p>
    <w:tbl>
      <w:tblPr>
        <w:tblW w:w="905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1137"/>
        <w:gridCol w:w="826"/>
        <w:gridCol w:w="7088"/>
      </w:tblGrid>
      <w:tr w:rsidR="00505CF6" w:rsidRPr="00096ECE" w14:paraId="545B3445" w14:textId="77777777" w:rsidTr="00F55C64">
        <w:tc>
          <w:tcPr>
            <w:tcW w:w="1137" w:type="dxa"/>
            <w:noWrap/>
          </w:tcPr>
          <w:p w14:paraId="4445C581" w14:textId="77777777" w:rsidR="00505CF6" w:rsidRPr="005251E2" w:rsidRDefault="00505CF6" w:rsidP="00561AED">
            <w:pPr>
              <w:pStyle w:val="Normal17"/>
              <w:overflowPunct/>
              <w:autoSpaceDE/>
              <w:autoSpaceDN/>
              <w:adjustRightInd/>
              <w:textAlignment w:val="auto"/>
              <w:rPr>
                <w:b/>
              </w:rPr>
            </w:pPr>
            <w:r w:rsidRPr="005251E2">
              <w:rPr>
                <w:b/>
                <w:bdr w:val="nil"/>
              </w:rPr>
              <w:t xml:space="preserve">ITEM </w:t>
            </w:r>
            <w:r w:rsidR="003323A8" w:rsidRPr="005251E2">
              <w:rPr>
                <w:b/>
                <w:bdr w:val="nil"/>
              </w:rPr>
              <w:t>1</w:t>
            </w:r>
            <w:r w:rsidRPr="005251E2">
              <w:rPr>
                <w:b/>
                <w:bdr w:val="nil"/>
              </w:rPr>
              <w:t xml:space="preserve"> </w:t>
            </w:r>
          </w:p>
        </w:tc>
        <w:tc>
          <w:tcPr>
            <w:tcW w:w="7914" w:type="dxa"/>
            <w:gridSpan w:val="2"/>
          </w:tcPr>
          <w:p w14:paraId="43B6BC1B" w14:textId="0A530D68" w:rsidR="00505CF6" w:rsidRPr="005251E2" w:rsidRDefault="00851853" w:rsidP="00561AED">
            <w:pPr>
              <w:pStyle w:val="Normal17"/>
              <w:rPr>
                <w:rFonts w:ascii="Arial Bold" w:hAnsi="Arial Bold"/>
                <w:b/>
                <w:caps/>
              </w:rPr>
            </w:pPr>
            <w:r w:rsidRPr="00851853">
              <w:rPr>
                <w:rFonts w:ascii="Arial Bold" w:hAnsi="Arial Bold"/>
                <w:b/>
                <w:caps/>
              </w:rPr>
              <w:t>Transfer of the completed development at Bridges Cross at the former Lucy Faithfull House site on Speedwell Street, Oxford from Oxford City Housing (Development) Limited to Oxford City Council</w:t>
            </w:r>
          </w:p>
        </w:tc>
      </w:tr>
      <w:tr w:rsidR="00505CF6" w:rsidRPr="00096ECE" w14:paraId="390DF969" w14:textId="77777777" w:rsidTr="00F55C64">
        <w:tblPrEx>
          <w:tblCellMar>
            <w:top w:w="0" w:type="dxa"/>
            <w:left w:w="108" w:type="dxa"/>
            <w:right w:w="108" w:type="dxa"/>
          </w:tblCellMar>
          <w:tblLook w:val="04A0" w:firstRow="1" w:lastRow="0" w:firstColumn="1" w:lastColumn="0" w:noHBand="0" w:noVBand="1"/>
        </w:tblPrEx>
        <w:tc>
          <w:tcPr>
            <w:tcW w:w="9051" w:type="dxa"/>
            <w:gridSpan w:val="3"/>
            <w:tcBorders>
              <w:top w:val="single" w:sz="4" w:space="0" w:color="auto"/>
              <w:left w:val="single" w:sz="4" w:space="0" w:color="auto"/>
              <w:bottom w:val="single" w:sz="4" w:space="0" w:color="auto"/>
              <w:right w:val="single" w:sz="4" w:space="0" w:color="auto"/>
            </w:tcBorders>
            <w:shd w:val="clear" w:color="auto" w:fill="auto"/>
          </w:tcPr>
          <w:p w14:paraId="5AEC76F9" w14:textId="6F17BFFF" w:rsidR="00851853" w:rsidRDefault="00851853" w:rsidP="00851853">
            <w:r w:rsidRPr="00851853">
              <w:lastRenderedPageBreak/>
              <w:t>As the developed block at the property includes both private (10) and affordable housing units (26), the details for the structure for the purchase back of the developed site had to be agreed. The following has now been agreed:</w:t>
            </w:r>
          </w:p>
          <w:p w14:paraId="1EE42309" w14:textId="62F48DB0" w:rsidR="00851853" w:rsidRPr="00851853" w:rsidRDefault="00851853" w:rsidP="00851853">
            <w:r w:rsidRPr="00851853">
              <w:t>The Council will enter into the following transactions</w:t>
            </w:r>
            <w:r>
              <w:t>:</w:t>
            </w:r>
          </w:p>
          <w:p w14:paraId="50B1CBAE" w14:textId="2F9C5AA1" w:rsidR="00851853" w:rsidRPr="00851853" w:rsidRDefault="00851853" w:rsidP="00851853">
            <w:r w:rsidRPr="00851853">
              <w:t>1. OCHDL will grant a 999 year lease of the 26 affordable housing units to OCC for the consideration approved in July 2021 (and at a peppercorn rent). The premium for the lease is £10.25m in line with the original authority, this sum has been received by OCH(D)L through staged payments made by OCC in line with the 2021 decision</w:t>
            </w:r>
            <w:r w:rsidR="004F1CAE">
              <w:t>.</w:t>
            </w:r>
          </w:p>
          <w:p w14:paraId="52D280A7" w14:textId="15FC3178" w:rsidR="00851853" w:rsidRPr="00851853" w:rsidRDefault="00851853" w:rsidP="00851853">
            <w:r w:rsidRPr="00851853">
              <w:t>2. On grant of the lease, the Council will release the charge it holds over the freehold property protecting advance payments (of the above consideration) which it has made</w:t>
            </w:r>
            <w:r w:rsidR="004F1CAE">
              <w:t>.</w:t>
            </w:r>
          </w:p>
          <w:p w14:paraId="070751BA" w14:textId="50DC1DBC" w:rsidR="00851853" w:rsidRPr="00851853" w:rsidRDefault="00851853" w:rsidP="00851853">
            <w:r w:rsidRPr="00851853">
              <w:t>3. OCHDL and the Council will enter into a management agreement under which the Council</w:t>
            </w:r>
            <w:r>
              <w:t xml:space="preserve"> </w:t>
            </w:r>
            <w:r w:rsidRPr="00851853">
              <w:t xml:space="preserve">will manage the site, services, service charge and occupiers on behalf of OCHDL. </w:t>
            </w:r>
          </w:p>
          <w:p w14:paraId="3ED702F8" w14:textId="77777777" w:rsidR="00851853" w:rsidRPr="00851853" w:rsidRDefault="00851853" w:rsidP="00851853">
            <w:r w:rsidRPr="00851853">
              <w:t>4. OCC and OCHDL will enter a forward sale agreement providing for OCC to purchase the freehold of the site for £1 once OCHDL has sold the final private unit.</w:t>
            </w:r>
          </w:p>
          <w:p w14:paraId="2F7F1323" w14:textId="696821F4" w:rsidR="00C268EB" w:rsidRPr="00375F21" w:rsidRDefault="00851853" w:rsidP="005251E2">
            <w:r w:rsidRPr="00851853">
              <w:t>All of the above will achieve the original intention of the Cabinet decision taken in 2019 which is to transfer the completed units back to the Council</w:t>
            </w:r>
          </w:p>
        </w:tc>
      </w:tr>
      <w:tr w:rsidR="00505CF6" w:rsidRPr="00096ECE" w14:paraId="1EB278C0" w14:textId="77777777"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14:paraId="682606DC" w14:textId="5AEB87B3" w:rsidR="00505CF6" w:rsidRPr="005251E2" w:rsidRDefault="00505CF6" w:rsidP="00561AED">
            <w:pPr>
              <w:pStyle w:val="Normal17"/>
              <w:rPr>
                <w:b/>
                <w:bCs/>
                <w:sz w:val="24"/>
                <w:szCs w:val="24"/>
              </w:rPr>
            </w:pPr>
            <w:r w:rsidRPr="005251E2">
              <w:rPr>
                <w:b/>
                <w:bCs/>
                <w:sz w:val="24"/>
                <w:szCs w:val="24"/>
              </w:rPr>
              <w:t>Date</w:t>
            </w:r>
            <w:r w:rsidR="00561AED" w:rsidRPr="005251E2">
              <w:rPr>
                <w:b/>
                <w:bCs/>
                <w:sz w:val="24"/>
                <w:szCs w:val="24"/>
              </w:rPr>
              <w:t xml:space="preserve"> of decision</w:t>
            </w:r>
            <w:r w:rsidRPr="005251E2">
              <w:rPr>
                <w:b/>
                <w:bCs/>
                <w:sz w:val="24"/>
                <w:szCs w:val="24"/>
              </w:rPr>
              <w: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5E21E56" w14:textId="1CAADDEB" w:rsidR="00505CF6" w:rsidRPr="005251E2" w:rsidRDefault="00851853" w:rsidP="003323A8">
            <w:pPr>
              <w:pStyle w:val="Normal17"/>
              <w:rPr>
                <w:sz w:val="24"/>
                <w:szCs w:val="24"/>
              </w:rPr>
            </w:pPr>
            <w:r>
              <w:rPr>
                <w:sz w:val="24"/>
                <w:szCs w:val="24"/>
              </w:rPr>
              <w:t>13 November 2023</w:t>
            </w:r>
          </w:p>
        </w:tc>
      </w:tr>
      <w:tr w:rsidR="00505CF6" w:rsidRPr="00096ECE" w14:paraId="16B92553" w14:textId="77777777"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14:paraId="3FCF175F" w14:textId="77777777" w:rsidR="00505CF6" w:rsidRPr="005251E2" w:rsidRDefault="00505CF6" w:rsidP="00561AED">
            <w:pPr>
              <w:pStyle w:val="Normal17"/>
              <w:rPr>
                <w:b/>
                <w:bCs/>
                <w:sz w:val="24"/>
                <w:szCs w:val="24"/>
              </w:rPr>
            </w:pPr>
            <w:r w:rsidRPr="005251E2">
              <w:rPr>
                <w:b/>
                <w:bCs/>
                <w:sz w:val="24"/>
                <w:szCs w:val="24"/>
              </w:rPr>
              <w:t>Decision taker</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6C06524" w14:textId="2AB45944" w:rsidR="00505CF6" w:rsidRPr="005251E2" w:rsidRDefault="004F1CAE" w:rsidP="00561AED">
            <w:pPr>
              <w:pStyle w:val="Normal17"/>
              <w:rPr>
                <w:sz w:val="24"/>
                <w:szCs w:val="24"/>
                <w:bdr w:val="nil"/>
              </w:rPr>
            </w:pPr>
            <w:r>
              <w:rPr>
                <w:sz w:val="24"/>
                <w:szCs w:val="24"/>
                <w:bdr w:val="nil"/>
              </w:rPr>
              <w:t xml:space="preserve">Caroline Green, </w:t>
            </w:r>
            <w:r w:rsidR="00851853">
              <w:rPr>
                <w:sz w:val="24"/>
                <w:szCs w:val="24"/>
                <w:bdr w:val="nil"/>
              </w:rPr>
              <w:t>Chief Executive</w:t>
            </w:r>
          </w:p>
          <w:p w14:paraId="1DF4D073" w14:textId="77777777" w:rsidR="00505CF6" w:rsidRPr="00096ECE" w:rsidRDefault="00505CF6" w:rsidP="00561AED">
            <w:pPr>
              <w:pStyle w:val="Normal17"/>
              <w:rPr>
                <w:sz w:val="24"/>
                <w:szCs w:val="24"/>
                <w:highlight w:val="yellow"/>
                <w:bdr w:val="nil"/>
              </w:rPr>
            </w:pPr>
          </w:p>
          <w:p w14:paraId="53ED925C" w14:textId="77777777" w:rsidR="00601D5A" w:rsidRPr="005251E2" w:rsidRDefault="00501AB0" w:rsidP="00561AED">
            <w:pPr>
              <w:pStyle w:val="Normal17"/>
              <w:rPr>
                <w:sz w:val="24"/>
                <w:szCs w:val="24"/>
                <w:bdr w:val="nil"/>
              </w:rPr>
            </w:pPr>
            <w:r w:rsidRPr="005251E2">
              <w:rPr>
                <w:sz w:val="24"/>
                <w:szCs w:val="24"/>
                <w:bdr w:val="nil"/>
              </w:rPr>
              <w:t>Decision taken in consultation with</w:t>
            </w:r>
            <w:r w:rsidR="00601D5A" w:rsidRPr="005251E2">
              <w:rPr>
                <w:sz w:val="24"/>
                <w:szCs w:val="24"/>
                <w:bdr w:val="nil"/>
              </w:rPr>
              <w:t>:</w:t>
            </w:r>
          </w:p>
          <w:p w14:paraId="671CE2E9" w14:textId="43178D92" w:rsidR="00851853" w:rsidRDefault="000C759C" w:rsidP="00851853">
            <w:pPr>
              <w:pStyle w:val="Normal17"/>
              <w:numPr>
                <w:ilvl w:val="0"/>
                <w:numId w:val="4"/>
              </w:numPr>
              <w:rPr>
                <w:sz w:val="24"/>
                <w:szCs w:val="24"/>
                <w:bdr w:val="nil"/>
              </w:rPr>
            </w:pPr>
            <w:r>
              <w:rPr>
                <w:sz w:val="24"/>
                <w:szCs w:val="24"/>
                <w:bdr w:val="nil"/>
              </w:rPr>
              <w:t xml:space="preserve">Councillor </w:t>
            </w:r>
            <w:r w:rsidR="00851853">
              <w:rPr>
                <w:sz w:val="24"/>
                <w:szCs w:val="24"/>
                <w:bdr w:val="nil"/>
              </w:rPr>
              <w:t>Linda Smith</w:t>
            </w:r>
            <w:r>
              <w:rPr>
                <w:sz w:val="24"/>
                <w:szCs w:val="24"/>
                <w:bdr w:val="nil"/>
              </w:rPr>
              <w:t xml:space="preserve">, </w:t>
            </w:r>
            <w:r w:rsidR="00851853">
              <w:rPr>
                <w:sz w:val="24"/>
                <w:szCs w:val="24"/>
                <w:bdr w:val="nil"/>
              </w:rPr>
              <w:t>Cabinet Member for Housing</w:t>
            </w:r>
          </w:p>
          <w:p w14:paraId="3CD26393" w14:textId="5F5F53C0" w:rsidR="00601D5A" w:rsidRPr="00851853" w:rsidRDefault="0086769B" w:rsidP="00851853">
            <w:pPr>
              <w:pStyle w:val="Normal17"/>
              <w:numPr>
                <w:ilvl w:val="0"/>
                <w:numId w:val="4"/>
              </w:numPr>
              <w:rPr>
                <w:sz w:val="24"/>
                <w:szCs w:val="24"/>
                <w:bdr w:val="nil"/>
              </w:rPr>
            </w:pPr>
            <w:r w:rsidRPr="00851853">
              <w:rPr>
                <w:sz w:val="24"/>
                <w:szCs w:val="24"/>
                <w:bdr w:val="nil"/>
              </w:rPr>
              <w:t>Nigel Kennedy,</w:t>
            </w:r>
            <w:r w:rsidR="00501AB0" w:rsidRPr="00851853">
              <w:rPr>
                <w:sz w:val="24"/>
                <w:szCs w:val="24"/>
                <w:bdr w:val="nil"/>
              </w:rPr>
              <w:t xml:space="preserve"> Head of Financial Services</w:t>
            </w:r>
            <w:r w:rsidR="000C759C" w:rsidRPr="00851853">
              <w:rPr>
                <w:sz w:val="24"/>
                <w:szCs w:val="24"/>
                <w:bdr w:val="nil"/>
              </w:rPr>
              <w:t xml:space="preserve"> </w:t>
            </w:r>
          </w:p>
          <w:p w14:paraId="6E42E0DB" w14:textId="2AA93F3F" w:rsidR="00F86808" w:rsidRPr="005251E2" w:rsidRDefault="00851853" w:rsidP="005251E2">
            <w:pPr>
              <w:pStyle w:val="Normal17"/>
              <w:numPr>
                <w:ilvl w:val="0"/>
                <w:numId w:val="4"/>
              </w:numPr>
              <w:rPr>
                <w:sz w:val="24"/>
                <w:szCs w:val="24"/>
                <w:bdr w:val="nil"/>
              </w:rPr>
            </w:pPr>
            <w:r>
              <w:rPr>
                <w:sz w:val="24"/>
                <w:szCs w:val="24"/>
                <w:bdr w:val="nil"/>
              </w:rPr>
              <w:t>Emma Jackman</w:t>
            </w:r>
            <w:r w:rsidR="005251E2">
              <w:rPr>
                <w:sz w:val="24"/>
                <w:szCs w:val="24"/>
                <w:bdr w:val="nil"/>
              </w:rPr>
              <w:t>, Head of Law and Governance</w:t>
            </w:r>
          </w:p>
        </w:tc>
      </w:tr>
      <w:tr w:rsidR="00505CF6" w:rsidRPr="00096ECE" w14:paraId="5135AF6E" w14:textId="77777777" w:rsidTr="00997C3E">
        <w:tblPrEx>
          <w:tblCellMar>
            <w:top w:w="0" w:type="dxa"/>
            <w:left w:w="108" w:type="dxa"/>
            <w:right w:w="108" w:type="dxa"/>
          </w:tblCellMar>
          <w:tblLook w:val="04A0" w:firstRow="1" w:lastRow="0" w:firstColumn="1" w:lastColumn="0" w:noHBand="0" w:noVBand="1"/>
        </w:tblPrEx>
        <w:tc>
          <w:tcPr>
            <w:tcW w:w="1963" w:type="dxa"/>
            <w:gridSpan w:val="2"/>
            <w:shd w:val="clear" w:color="auto" w:fill="auto"/>
          </w:tcPr>
          <w:p w14:paraId="57D9AD0E" w14:textId="6A1FE0F9" w:rsidR="00505CF6" w:rsidRPr="00096ECE" w:rsidRDefault="00505CF6" w:rsidP="00561AED">
            <w:pPr>
              <w:spacing w:before="120"/>
              <w:rPr>
                <w:rFonts w:cs="Arial"/>
                <w:szCs w:val="24"/>
                <w:highlight w:val="yellow"/>
              </w:rPr>
            </w:pPr>
            <w:r w:rsidRPr="005251E2">
              <w:rPr>
                <w:rFonts w:cs="Arial"/>
                <w:b/>
                <w:szCs w:val="24"/>
              </w:rPr>
              <w:t>Was the decision taken under emergency or urgency rules?</w:t>
            </w:r>
          </w:p>
        </w:tc>
        <w:tc>
          <w:tcPr>
            <w:tcW w:w="7088" w:type="dxa"/>
            <w:shd w:val="clear" w:color="auto" w:fill="auto"/>
          </w:tcPr>
          <w:p w14:paraId="54D0CC00" w14:textId="240B8FA0" w:rsidR="00505CF6" w:rsidRPr="000C759C" w:rsidRDefault="00505CF6" w:rsidP="00561AED">
            <w:pPr>
              <w:rPr>
                <w:rFonts w:cs="Arial"/>
                <w:szCs w:val="24"/>
              </w:rPr>
            </w:pPr>
            <w:r w:rsidRPr="000C759C">
              <w:rPr>
                <w:rFonts w:cs="Arial"/>
                <w:szCs w:val="24"/>
              </w:rPr>
              <w:t xml:space="preserve">Constitution </w:t>
            </w:r>
            <w:r w:rsidR="000C759C" w:rsidRPr="000C759C">
              <w:rPr>
                <w:rFonts w:cs="Arial"/>
                <w:szCs w:val="24"/>
              </w:rPr>
              <w:t>17.9</w:t>
            </w:r>
          </w:p>
          <w:p w14:paraId="5E567897" w14:textId="77777777" w:rsidR="000C759C" w:rsidRPr="000C759C" w:rsidRDefault="000C759C" w:rsidP="000C759C">
            <w:pPr>
              <w:rPr>
                <w:i/>
              </w:rPr>
            </w:pPr>
            <w:r w:rsidRPr="000C759C">
              <w:rPr>
                <w:i/>
              </w:rPr>
              <w:t xml:space="preserve">A decision to be taken cannot be called in if the Chair of the Scrutiny Committee, upon being consulted, agrees that: </w:t>
            </w:r>
          </w:p>
          <w:p w14:paraId="1CAAEC32" w14:textId="77777777" w:rsidR="000C759C" w:rsidRPr="000C759C" w:rsidRDefault="000C759C" w:rsidP="000C759C">
            <w:pPr>
              <w:pStyle w:val="ListParagraph"/>
              <w:numPr>
                <w:ilvl w:val="0"/>
                <w:numId w:val="10"/>
              </w:numPr>
              <w:rPr>
                <w:rFonts w:cs="Arial"/>
                <w:i/>
              </w:rPr>
            </w:pPr>
            <w:r w:rsidRPr="000C759C">
              <w:rPr>
                <w:i/>
              </w:rPr>
              <w:t xml:space="preserve">the decision to be taken is both urgent and reasonable and </w:t>
            </w:r>
          </w:p>
          <w:p w14:paraId="22049F08" w14:textId="77777777" w:rsidR="000C759C" w:rsidRPr="000C759C" w:rsidRDefault="000C759C" w:rsidP="000C759C">
            <w:pPr>
              <w:pStyle w:val="ListParagraph"/>
              <w:numPr>
                <w:ilvl w:val="0"/>
                <w:numId w:val="10"/>
              </w:numPr>
              <w:rPr>
                <w:rFonts w:cs="Arial"/>
                <w:i/>
              </w:rPr>
            </w:pPr>
            <w:r w:rsidRPr="000C759C">
              <w:rPr>
                <w:i/>
              </w:rPr>
              <w:t xml:space="preserve">the delay caused by the call-in process would not be in the interests of the Council or the public. </w:t>
            </w:r>
          </w:p>
          <w:p w14:paraId="3027D9D0" w14:textId="77777777" w:rsidR="000C759C" w:rsidRPr="000C759C" w:rsidRDefault="000C759C" w:rsidP="000C759C">
            <w:pPr>
              <w:rPr>
                <w:i/>
              </w:rPr>
            </w:pPr>
            <w:r w:rsidRPr="000C759C">
              <w:rPr>
                <w:i/>
              </w:rPr>
              <w:t xml:space="preserve">If the Chair of the Scrutiny Committee is not available, the Lord Mayor must agree that the decision to be taken is urgent and reasonable. If the Lord Mayor is not available, the Deputy Lord Mayor, Chief Executive or Monitoring Officer must agree. </w:t>
            </w:r>
          </w:p>
          <w:p w14:paraId="21B7414A" w14:textId="77777777" w:rsidR="000C759C" w:rsidRPr="000C759C" w:rsidRDefault="000C759C" w:rsidP="000C759C">
            <w:pPr>
              <w:rPr>
                <w:i/>
              </w:rPr>
            </w:pPr>
            <w:r w:rsidRPr="000C759C">
              <w:rPr>
                <w:i/>
              </w:rPr>
              <w:t xml:space="preserve">Decisions to which this rule applies must be identified on the notice of decision. </w:t>
            </w:r>
          </w:p>
          <w:p w14:paraId="496C0CD9" w14:textId="0E507D47" w:rsidR="00505CF6" w:rsidRPr="000C759C" w:rsidRDefault="000C759C" w:rsidP="000C759C">
            <w:pPr>
              <w:rPr>
                <w:rFonts w:cs="Arial"/>
                <w:i/>
              </w:rPr>
            </w:pPr>
            <w:r w:rsidRPr="000C759C">
              <w:rPr>
                <w:i/>
              </w:rPr>
              <w:t>Decisions to which this rule applies must be reported to the next ordinary Council meeting with the reasons why they were urgent. If the next meeting is within seven days of the decision being taken the decision taker will report to the next meeting after that.</w:t>
            </w:r>
          </w:p>
        </w:tc>
      </w:tr>
      <w:tr w:rsidR="00505CF6" w:rsidRPr="00096ECE" w14:paraId="2EF16BE0" w14:textId="77777777"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14:paraId="1397FD8F" w14:textId="77777777" w:rsidR="00505CF6" w:rsidRPr="00096ECE" w:rsidRDefault="00505CF6" w:rsidP="00561AED">
            <w:pPr>
              <w:pStyle w:val="Normal17"/>
              <w:rPr>
                <w:b/>
                <w:bCs/>
                <w:sz w:val="24"/>
                <w:szCs w:val="24"/>
                <w:highlight w:val="yellow"/>
              </w:rPr>
            </w:pPr>
            <w:r w:rsidRPr="005251E2">
              <w:rPr>
                <w:b/>
                <w:bCs/>
                <w:sz w:val="24"/>
                <w:szCs w:val="24"/>
              </w:rPr>
              <w:lastRenderedPageBreak/>
              <w:t>Is this a Key Decision?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8E70E52" w14:textId="7404C3AA" w:rsidR="000C759C" w:rsidRPr="005251E2" w:rsidRDefault="0086769B" w:rsidP="000C759C">
            <w:pPr>
              <w:pStyle w:val="Normal17"/>
              <w:rPr>
                <w:rFonts w:cs="Arial"/>
              </w:rPr>
            </w:pPr>
            <w:r w:rsidRPr="005251E2">
              <w:rPr>
                <w:bCs/>
                <w:sz w:val="24"/>
                <w:szCs w:val="24"/>
              </w:rPr>
              <w:t xml:space="preserve">Yes </w:t>
            </w:r>
          </w:p>
          <w:p w14:paraId="222CE246" w14:textId="40E2D044" w:rsidR="005251E2" w:rsidRPr="005251E2" w:rsidRDefault="005251E2" w:rsidP="00D17B1D">
            <w:pPr>
              <w:rPr>
                <w:rFonts w:cs="Arial"/>
              </w:rPr>
            </w:pPr>
          </w:p>
        </w:tc>
      </w:tr>
      <w:tr w:rsidR="00505CF6" w:rsidRPr="00096ECE" w14:paraId="0BCACB6D" w14:textId="77777777"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14:paraId="7EC43F0C" w14:textId="77777777" w:rsidR="00505CF6" w:rsidRPr="005251E2" w:rsidRDefault="00505CF6" w:rsidP="00561AED">
            <w:pPr>
              <w:pStyle w:val="Normal17"/>
              <w:rPr>
                <w:b/>
                <w:bCs/>
                <w:sz w:val="24"/>
                <w:szCs w:val="24"/>
              </w:rPr>
            </w:pPr>
            <w:r w:rsidRPr="005251E2">
              <w:rPr>
                <w:b/>
                <w:bCs/>
                <w:sz w:val="24"/>
                <w:szCs w:val="24"/>
              </w:rPr>
              <w:t>Reasons for decision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9B3A4EC" w14:textId="7267C00A" w:rsidR="000C759C" w:rsidRPr="00096ECE" w:rsidRDefault="00851853" w:rsidP="000C759C">
            <w:pPr>
              <w:rPr>
                <w:rFonts w:cs="Arial"/>
                <w:bCs/>
                <w:szCs w:val="24"/>
                <w:highlight w:val="yellow"/>
              </w:rPr>
            </w:pPr>
            <w:r w:rsidRPr="00851853">
              <w:t>The structure enables OCHDL to retain the income from the sale of the private units and removes risk for both parties.</w:t>
            </w:r>
          </w:p>
        </w:tc>
      </w:tr>
      <w:tr w:rsidR="00505CF6" w:rsidRPr="00096ECE" w14:paraId="4F6DD7D7" w14:textId="77777777"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14:paraId="7DEAD854" w14:textId="77777777" w:rsidR="00505CF6" w:rsidRPr="005251E2" w:rsidRDefault="00505CF6" w:rsidP="00561AED">
            <w:pPr>
              <w:pStyle w:val="Normal17"/>
              <w:rPr>
                <w:b/>
                <w:bCs/>
                <w:sz w:val="24"/>
                <w:szCs w:val="24"/>
              </w:rPr>
            </w:pPr>
            <w:r w:rsidRPr="005251E2">
              <w:rPr>
                <w:b/>
                <w:bCs/>
                <w:sz w:val="24"/>
                <w:szCs w:val="24"/>
              </w:rPr>
              <w:t>Alternative options considered:</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7BE6D24" w14:textId="19597BC7" w:rsidR="00505CF6" w:rsidRPr="00375F21" w:rsidRDefault="00375F21" w:rsidP="00375F21">
            <w:pPr>
              <w:rPr>
                <w:rFonts w:cs="Arial"/>
              </w:rPr>
            </w:pPr>
            <w:r w:rsidRPr="00375F21">
              <w:t>Not granting the lease or transferring the land, But OCHL are unable to dispose of the Shared Ownership or Affordable rented properties and they would have remained vacant.</w:t>
            </w:r>
          </w:p>
        </w:tc>
      </w:tr>
      <w:tr w:rsidR="00505CF6" w:rsidRPr="00C74FC0" w14:paraId="2B66BAFD" w14:textId="77777777" w:rsidTr="00997C3E">
        <w:tblPrEx>
          <w:tblCellMar>
            <w:top w:w="0" w:type="dxa"/>
            <w:left w:w="108" w:type="dxa"/>
            <w:right w:w="108" w:type="dxa"/>
          </w:tblCellMar>
          <w:tblLook w:val="04A0" w:firstRow="1" w:lastRow="0" w:firstColumn="1" w:lastColumn="0" w:noHBand="0" w:noVBand="1"/>
        </w:tblPrEx>
        <w:tc>
          <w:tcPr>
            <w:tcW w:w="1963" w:type="dxa"/>
            <w:gridSpan w:val="2"/>
            <w:tcBorders>
              <w:top w:val="single" w:sz="4" w:space="0" w:color="auto"/>
              <w:left w:val="single" w:sz="4" w:space="0" w:color="auto"/>
              <w:bottom w:val="single" w:sz="4" w:space="0" w:color="auto"/>
              <w:right w:val="single" w:sz="4" w:space="0" w:color="auto"/>
            </w:tcBorders>
            <w:shd w:val="clear" w:color="auto" w:fill="auto"/>
          </w:tcPr>
          <w:p w14:paraId="43FE442C" w14:textId="77777777" w:rsidR="00505CF6" w:rsidRPr="005251E2" w:rsidRDefault="00505CF6" w:rsidP="00561AED">
            <w:pPr>
              <w:pStyle w:val="Normal17"/>
              <w:rPr>
                <w:b/>
                <w:bCs/>
                <w:sz w:val="24"/>
                <w:szCs w:val="24"/>
              </w:rPr>
            </w:pPr>
            <w:r w:rsidRPr="005251E2">
              <w:rPr>
                <w:b/>
                <w:bCs/>
                <w:sz w:val="24"/>
                <w:szCs w:val="24"/>
              </w:rPr>
              <w:t>Wards significantly affected</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C8A2980" w14:textId="2C7A5780" w:rsidR="00505CF6" w:rsidRPr="005251E2" w:rsidRDefault="00851853" w:rsidP="00561AED">
            <w:pPr>
              <w:pStyle w:val="Normal17"/>
              <w:rPr>
                <w:sz w:val="24"/>
                <w:szCs w:val="24"/>
              </w:rPr>
            </w:pPr>
            <w:r w:rsidRPr="00375F21">
              <w:rPr>
                <w:sz w:val="24"/>
                <w:szCs w:val="22"/>
              </w:rPr>
              <w:t>Osney and St Thomas</w:t>
            </w:r>
          </w:p>
        </w:tc>
      </w:tr>
    </w:tbl>
    <w:p w14:paraId="1F204B30" w14:textId="77777777" w:rsidR="00505CF6" w:rsidRDefault="00505CF6" w:rsidP="0034201F">
      <w:pPr>
        <w:pStyle w:val="ListParagraph"/>
        <w:numPr>
          <w:ilvl w:val="0"/>
          <w:numId w:val="0"/>
        </w:numPr>
        <w:spacing w:after="0"/>
        <w:ind w:left="357"/>
      </w:pPr>
    </w:p>
    <w:p w14:paraId="34F12AA8" w14:textId="77777777" w:rsidR="00B365E3" w:rsidRDefault="00B365E3" w:rsidP="00B365E3">
      <w:pPr>
        <w:pStyle w:val="Heading1"/>
      </w:pPr>
      <w:r>
        <w:t>Financial issues</w:t>
      </w:r>
    </w:p>
    <w:p w14:paraId="1F674140" w14:textId="64B91AD8" w:rsidR="000C759C" w:rsidRDefault="000C759C" w:rsidP="003F0C65">
      <w:pPr>
        <w:pStyle w:val="ListParagraph"/>
        <w:jc w:val="both"/>
      </w:pPr>
      <w:r>
        <w:t xml:space="preserve">The </w:t>
      </w:r>
      <w:r w:rsidR="00375F21" w:rsidRPr="00375F21">
        <w:t xml:space="preserve">transfer by purchase of the land and </w:t>
      </w:r>
      <w:r w:rsidR="00375F21">
        <w:t xml:space="preserve">the </w:t>
      </w:r>
      <w:r w:rsidR="00375F21" w:rsidRPr="00375F21">
        <w:t xml:space="preserve">26 affordable housing units from Oxford City Housing (Development) Limited by the Council’s Housing Revenue Account (HRA) for a consideration of £10,250,000 in total. The consideration was </w:t>
      </w:r>
      <w:r w:rsidR="00375F21">
        <w:t xml:space="preserve">initially </w:t>
      </w:r>
      <w:r w:rsidR="00375F21" w:rsidRPr="00375F21">
        <w:t>taken in July 2021</w:t>
      </w:r>
    </w:p>
    <w:p w14:paraId="7DA3F16A" w14:textId="77777777" w:rsidR="00B365E3" w:rsidRDefault="00B365E3" w:rsidP="00D35A7A">
      <w:pPr>
        <w:pStyle w:val="Heading1"/>
      </w:pPr>
      <w:r>
        <w:t>Legal issues</w:t>
      </w:r>
    </w:p>
    <w:p w14:paraId="32BD5DD7" w14:textId="1ACF2DE6" w:rsidR="003F6E0F" w:rsidRPr="003F6E0F" w:rsidRDefault="003F6E0F" w:rsidP="005B07A9">
      <w:pPr>
        <w:pStyle w:val="ListParagraph"/>
        <w:spacing w:after="0"/>
        <w:ind w:left="357" w:hanging="357"/>
        <w:rPr>
          <w:szCs w:val="24"/>
        </w:rPr>
      </w:pPr>
      <w:r w:rsidRPr="003F6E0F">
        <w:rPr>
          <w:szCs w:val="24"/>
        </w:rPr>
        <w:t>At its meeting on</w:t>
      </w:r>
      <w:r w:rsidR="0086234D">
        <w:rPr>
          <w:szCs w:val="24"/>
        </w:rPr>
        <w:t xml:space="preserve"> 29 May 2019</w:t>
      </w:r>
      <w:r w:rsidRPr="003F6E0F">
        <w:rPr>
          <w:szCs w:val="24"/>
        </w:rPr>
        <w:t xml:space="preserve">, Cabinet delegated authority to the </w:t>
      </w:r>
      <w:r w:rsidR="0086234D">
        <w:rPr>
          <w:szCs w:val="24"/>
        </w:rPr>
        <w:t>Assistant Chief Executive</w:t>
      </w:r>
      <w:r w:rsidRPr="003F6E0F">
        <w:rPr>
          <w:szCs w:val="24"/>
        </w:rPr>
        <w:t xml:space="preserve">, in consultation </w:t>
      </w:r>
      <w:r w:rsidR="0086234D" w:rsidRPr="0086234D">
        <w:rPr>
          <w:szCs w:val="24"/>
        </w:rPr>
        <w:t>with the Head of Finance and the Head of Law and Governance to approve and facilitate the agreed purchase by the HRA of all affordable housing units at the OHCL development sites. The Assistant Chief Executive further delegated the decision to the Director of Housing.</w:t>
      </w:r>
    </w:p>
    <w:p w14:paraId="068A9C74" w14:textId="63D15593" w:rsidR="00D15B03" w:rsidRPr="004F1CAE" w:rsidRDefault="00D35A7A" w:rsidP="005B07A9">
      <w:pPr>
        <w:pStyle w:val="ListParagraph"/>
      </w:pPr>
      <w:r>
        <w:t xml:space="preserve">The </w:t>
      </w:r>
      <w:r w:rsidR="00DC3B68">
        <w:t xml:space="preserve">urgency </w:t>
      </w:r>
      <w:r w:rsidR="003F6E0F">
        <w:t>provisions used to take the decision outlined in this report are</w:t>
      </w:r>
      <w:r>
        <w:t xml:space="preserve"> set out in </w:t>
      </w:r>
      <w:r w:rsidR="00AD1DCC">
        <w:t xml:space="preserve">Part </w:t>
      </w:r>
      <w:r w:rsidR="003F6E0F">
        <w:t>17.9</w:t>
      </w:r>
      <w:r w:rsidR="00AD1DCC">
        <w:t xml:space="preserve"> </w:t>
      </w:r>
      <w:r w:rsidR="00AD1DCC" w:rsidRPr="003F6E0F">
        <w:rPr>
          <w:rFonts w:cs="Arial"/>
          <w:szCs w:val="24"/>
        </w:rPr>
        <w:t xml:space="preserve">of </w:t>
      </w:r>
      <w:r w:rsidRPr="003F6E0F">
        <w:rPr>
          <w:rFonts w:cs="Arial"/>
          <w:szCs w:val="24"/>
        </w:rPr>
        <w:t xml:space="preserve">the </w:t>
      </w:r>
      <w:r w:rsidR="003F0C65" w:rsidRPr="003F6E0F">
        <w:rPr>
          <w:rFonts w:cs="Arial"/>
          <w:szCs w:val="24"/>
        </w:rPr>
        <w:t xml:space="preserve">Council’s </w:t>
      </w:r>
      <w:r w:rsidRPr="003F6E0F">
        <w:rPr>
          <w:rFonts w:cs="Arial"/>
          <w:szCs w:val="24"/>
        </w:rPr>
        <w:t xml:space="preserve">Constitution. </w:t>
      </w:r>
      <w:r w:rsidR="003F6E0F" w:rsidRPr="003F6E0F">
        <w:rPr>
          <w:rFonts w:cs="Arial"/>
          <w:szCs w:val="24"/>
        </w:rPr>
        <w:t>In accordance with Part 17.9 of the Constitution, the Chair of the Scrutiny Committee, C</w:t>
      </w:r>
      <w:r w:rsidR="00375F21">
        <w:rPr>
          <w:rFonts w:cs="Arial"/>
          <w:szCs w:val="24"/>
        </w:rPr>
        <w:t>ouncilllor</w:t>
      </w:r>
      <w:r w:rsidR="003F6E0F" w:rsidRPr="003F6E0F">
        <w:rPr>
          <w:rFonts w:cs="Arial"/>
          <w:szCs w:val="24"/>
        </w:rPr>
        <w:t xml:space="preserve"> </w:t>
      </w:r>
      <w:r w:rsidR="00851853">
        <w:rPr>
          <w:rFonts w:cs="Arial"/>
          <w:szCs w:val="24"/>
        </w:rPr>
        <w:t>Lucy Pegg</w:t>
      </w:r>
      <w:r w:rsidR="003F6E0F" w:rsidRPr="003F6E0F">
        <w:rPr>
          <w:rFonts w:cs="Arial"/>
          <w:szCs w:val="24"/>
        </w:rPr>
        <w:t xml:space="preserve"> agreed that the </w:t>
      </w:r>
      <w:r w:rsidR="003F6E0F" w:rsidRPr="003F6E0F">
        <w:rPr>
          <w:rFonts w:cs="Arial"/>
          <w:color w:val="000000"/>
          <w:szCs w:val="24"/>
        </w:rPr>
        <w:t>taking of the decision was both urgent and reasonable, and that the delay caused by the call-in process would not be in the interests of the Council or the public.</w:t>
      </w:r>
    </w:p>
    <w:p w14:paraId="2605EFBF" w14:textId="717720A4" w:rsidR="004F1CAE" w:rsidRPr="004F1CAE" w:rsidRDefault="004F1CAE" w:rsidP="005B07A9">
      <w:pPr>
        <w:pStyle w:val="ListParagraph"/>
        <w:rPr>
          <w:rFonts w:cs="Arial"/>
          <w:color w:val="000000"/>
          <w:szCs w:val="24"/>
        </w:rPr>
      </w:pPr>
      <w:r>
        <w:rPr>
          <w:rFonts w:cs="Arial"/>
          <w:color w:val="000000"/>
          <w:szCs w:val="24"/>
        </w:rPr>
        <w:t xml:space="preserve">Reasons for using the urgency provisions was because </w:t>
      </w:r>
      <w:r w:rsidRPr="004F1CAE">
        <w:rPr>
          <w:rFonts w:cs="Arial"/>
          <w:color w:val="000000"/>
          <w:szCs w:val="24"/>
        </w:rPr>
        <w:t>OCH(D)L ha</w:t>
      </w:r>
      <w:r>
        <w:rPr>
          <w:rFonts w:cs="Arial"/>
          <w:color w:val="000000"/>
          <w:szCs w:val="24"/>
        </w:rPr>
        <w:t>d</w:t>
      </w:r>
      <w:r w:rsidRPr="004F1CAE">
        <w:rPr>
          <w:rFonts w:cs="Arial"/>
          <w:color w:val="000000"/>
          <w:szCs w:val="24"/>
        </w:rPr>
        <w:t xml:space="preserve"> confirmed practical completion of Bridges Cross </w:t>
      </w:r>
      <w:r>
        <w:rPr>
          <w:rFonts w:cs="Arial"/>
          <w:color w:val="000000"/>
          <w:szCs w:val="24"/>
        </w:rPr>
        <w:t>was</w:t>
      </w:r>
      <w:r w:rsidRPr="004F1CAE">
        <w:rPr>
          <w:rFonts w:cs="Arial"/>
          <w:color w:val="000000"/>
          <w:szCs w:val="24"/>
        </w:rPr>
        <w:t xml:space="preserve"> anticipated on Monday 13</w:t>
      </w:r>
      <w:r w:rsidRPr="004F1CAE">
        <w:rPr>
          <w:rFonts w:cs="Arial"/>
          <w:color w:val="000000"/>
          <w:szCs w:val="24"/>
          <w:vertAlign w:val="superscript"/>
        </w:rPr>
        <w:t>th</w:t>
      </w:r>
      <w:r w:rsidRPr="004F1CAE">
        <w:rPr>
          <w:rFonts w:cs="Arial"/>
          <w:color w:val="000000"/>
          <w:szCs w:val="24"/>
        </w:rPr>
        <w:t xml:space="preserve"> November. Practical completion trigger</w:t>
      </w:r>
      <w:r>
        <w:rPr>
          <w:rFonts w:cs="Arial"/>
          <w:color w:val="000000"/>
          <w:szCs w:val="24"/>
        </w:rPr>
        <w:t>ed</w:t>
      </w:r>
      <w:r w:rsidRPr="004F1CAE">
        <w:rPr>
          <w:rFonts w:cs="Arial"/>
          <w:color w:val="000000"/>
          <w:szCs w:val="24"/>
        </w:rPr>
        <w:t xml:space="preserve"> the transfer of the property back to Oxford City Council. 26 of the 36 of the units will be transferred back to OCC by way of long lease, these are the shared ownership and affordable rent units. OCH(D)L </w:t>
      </w:r>
      <w:r>
        <w:rPr>
          <w:rFonts w:cs="Arial"/>
          <w:color w:val="000000"/>
          <w:szCs w:val="24"/>
        </w:rPr>
        <w:t xml:space="preserve">will </w:t>
      </w:r>
      <w:r w:rsidRPr="004F1CAE">
        <w:rPr>
          <w:rFonts w:cs="Arial"/>
          <w:color w:val="000000"/>
          <w:szCs w:val="24"/>
        </w:rPr>
        <w:t>then sell the other 10 of the units which are market sale. There is a forward sale agreement which trigger</w:t>
      </w:r>
      <w:r>
        <w:rPr>
          <w:rFonts w:cs="Arial"/>
          <w:color w:val="000000"/>
          <w:szCs w:val="24"/>
        </w:rPr>
        <w:t>ed</w:t>
      </w:r>
      <w:r w:rsidRPr="004F1CAE">
        <w:rPr>
          <w:rFonts w:cs="Arial"/>
          <w:color w:val="000000"/>
          <w:szCs w:val="24"/>
        </w:rPr>
        <w:t xml:space="preserve"> the transfer of the remainder of the freehold for £1 once OCH(D)L have completed the market sales. </w:t>
      </w:r>
    </w:p>
    <w:p w14:paraId="01630548" w14:textId="2236A839" w:rsidR="004F1CAE" w:rsidRPr="004F1CAE" w:rsidRDefault="004F1CAE" w:rsidP="004F1CAE">
      <w:pPr>
        <w:pStyle w:val="ListParagraph"/>
        <w:rPr>
          <w:rFonts w:cs="Arial"/>
          <w:color w:val="000000"/>
          <w:szCs w:val="24"/>
        </w:rPr>
      </w:pPr>
      <w:r w:rsidRPr="004F1CAE">
        <w:rPr>
          <w:rFonts w:cs="Arial"/>
          <w:color w:val="000000"/>
          <w:szCs w:val="24"/>
        </w:rPr>
        <w:t xml:space="preserve">There have been delays to this project, primarily due to utilities connections. There are a number of shared ownership units under offer in the development and the Council </w:t>
      </w:r>
      <w:r>
        <w:rPr>
          <w:rFonts w:cs="Arial"/>
          <w:color w:val="000000"/>
          <w:szCs w:val="24"/>
        </w:rPr>
        <w:t>was at</w:t>
      </w:r>
      <w:r w:rsidRPr="004F1CAE">
        <w:rPr>
          <w:rFonts w:cs="Arial"/>
          <w:color w:val="000000"/>
          <w:szCs w:val="24"/>
        </w:rPr>
        <w:t xml:space="preserve"> risk of losing these purchasers unless we complete</w:t>
      </w:r>
      <w:r>
        <w:rPr>
          <w:rFonts w:cs="Arial"/>
          <w:color w:val="000000"/>
          <w:szCs w:val="24"/>
        </w:rPr>
        <w:t>d</w:t>
      </w:r>
      <w:r w:rsidRPr="004F1CAE">
        <w:rPr>
          <w:rFonts w:cs="Arial"/>
          <w:color w:val="000000"/>
          <w:szCs w:val="24"/>
        </w:rPr>
        <w:t xml:space="preserve"> the main transaction between OCC and OCH(D)L on Monday 13</w:t>
      </w:r>
      <w:r w:rsidRPr="004F1CAE">
        <w:rPr>
          <w:rFonts w:cs="Arial"/>
          <w:color w:val="000000"/>
          <w:szCs w:val="24"/>
          <w:vertAlign w:val="superscript"/>
        </w:rPr>
        <w:t>th</w:t>
      </w:r>
      <w:r>
        <w:rPr>
          <w:rFonts w:cs="Arial"/>
          <w:color w:val="000000"/>
          <w:szCs w:val="24"/>
          <w:vertAlign w:val="superscript"/>
        </w:rPr>
        <w:t xml:space="preserve"> </w:t>
      </w:r>
      <w:r>
        <w:rPr>
          <w:rFonts w:cs="Arial"/>
          <w:color w:val="000000"/>
          <w:szCs w:val="24"/>
        </w:rPr>
        <w:t>November</w:t>
      </w:r>
      <w:r w:rsidRPr="004F1CAE">
        <w:rPr>
          <w:rFonts w:cs="Arial"/>
          <w:color w:val="000000"/>
          <w:szCs w:val="24"/>
        </w:rPr>
        <w:t> alongside practical completion to allow the individual sales to progress. </w:t>
      </w:r>
    </w:p>
    <w:p w14:paraId="5C5AC6A2" w14:textId="351298F4" w:rsidR="004F1CAE" w:rsidRPr="004F1CAE" w:rsidRDefault="004F1CAE" w:rsidP="004F1CAE">
      <w:pPr>
        <w:pStyle w:val="ListParagraph"/>
        <w:rPr>
          <w:rFonts w:cs="Arial"/>
          <w:color w:val="000000"/>
          <w:szCs w:val="24"/>
        </w:rPr>
      </w:pPr>
      <w:r w:rsidRPr="004F1CAE">
        <w:rPr>
          <w:rFonts w:cs="Arial"/>
          <w:color w:val="000000"/>
          <w:szCs w:val="24"/>
        </w:rPr>
        <w:t>It had initially been thought that this decision could be taken as a non-key decision due to a previous decision being taken in 2021 to approve the value (£10.25m) of the transfer by purchase from OCC to OCH(D)L. The transaction ha</w:t>
      </w:r>
      <w:r>
        <w:rPr>
          <w:rFonts w:cs="Arial"/>
          <w:color w:val="000000"/>
          <w:szCs w:val="24"/>
        </w:rPr>
        <w:t>d</w:t>
      </w:r>
      <w:r w:rsidRPr="004F1CAE">
        <w:rPr>
          <w:rFonts w:cs="Arial"/>
          <w:color w:val="000000"/>
          <w:szCs w:val="24"/>
        </w:rPr>
        <w:t xml:space="preserve"> become more </w:t>
      </w:r>
      <w:r w:rsidRPr="004F1CAE">
        <w:rPr>
          <w:rFonts w:cs="Arial"/>
          <w:color w:val="000000"/>
          <w:szCs w:val="24"/>
        </w:rPr>
        <w:lastRenderedPageBreak/>
        <w:t xml:space="preserve">complex however and the arrangement now mean that a 999 lease, which is to be entered in to lease the houses </w:t>
      </w:r>
      <w:r>
        <w:rPr>
          <w:rFonts w:cs="Arial"/>
          <w:color w:val="000000"/>
          <w:szCs w:val="24"/>
        </w:rPr>
        <w:t>to</w:t>
      </w:r>
      <w:r w:rsidRPr="004F1CAE">
        <w:rPr>
          <w:rFonts w:cs="Arial"/>
          <w:color w:val="000000"/>
          <w:szCs w:val="24"/>
        </w:rPr>
        <w:t xml:space="preserve"> the Council, will be the agreement under which the £10.25M is payable. The future transfer of the freehold title will take place for the sum of £1 once other conditional matters have been resolved. The decision to enter </w:t>
      </w:r>
      <w:r w:rsidRPr="004F1CAE">
        <w:rPr>
          <w:rFonts w:cs="Arial"/>
          <w:color w:val="000000"/>
          <w:szCs w:val="24"/>
        </w:rPr>
        <w:t>into</w:t>
      </w:r>
      <w:r w:rsidRPr="004F1CAE">
        <w:rPr>
          <w:rFonts w:cs="Arial"/>
          <w:color w:val="000000"/>
          <w:szCs w:val="24"/>
        </w:rPr>
        <w:t xml:space="preserve"> this lease is therefore a key decision and there is now insufficient time to place on the forward plan and any delay will result in:</w:t>
      </w:r>
    </w:p>
    <w:p w14:paraId="21832ADE" w14:textId="77777777" w:rsidR="004F1CAE" w:rsidRPr="004F1CAE" w:rsidRDefault="004F1CAE" w:rsidP="004F1CAE">
      <w:pPr>
        <w:pStyle w:val="ListParagraph"/>
        <w:numPr>
          <w:ilvl w:val="1"/>
          <w:numId w:val="2"/>
        </w:numPr>
        <w:rPr>
          <w:rFonts w:cs="Arial"/>
          <w:color w:val="000000"/>
          <w:szCs w:val="24"/>
        </w:rPr>
      </w:pPr>
      <w:r w:rsidRPr="004F1CAE">
        <w:rPr>
          <w:rFonts w:cs="Arial"/>
          <w:color w:val="000000"/>
          <w:szCs w:val="24"/>
        </w:rPr>
        <w:t xml:space="preserve">delay in OCC’s shared ownership sales; and </w:t>
      </w:r>
    </w:p>
    <w:p w14:paraId="40103D59" w14:textId="4C49493F" w:rsidR="004F1CAE" w:rsidRPr="004F1CAE" w:rsidRDefault="004F1CAE" w:rsidP="004F1CAE">
      <w:pPr>
        <w:pStyle w:val="ListParagraph"/>
        <w:numPr>
          <w:ilvl w:val="1"/>
          <w:numId w:val="2"/>
        </w:numPr>
        <w:rPr>
          <w:rFonts w:cs="Arial"/>
          <w:color w:val="000000"/>
          <w:szCs w:val="24"/>
        </w:rPr>
      </w:pPr>
      <w:r w:rsidRPr="004F1CAE">
        <w:rPr>
          <w:rFonts w:cs="Arial"/>
          <w:color w:val="000000"/>
          <w:szCs w:val="24"/>
        </w:rPr>
        <w:t xml:space="preserve">delay in OCHDL’s private sales (as the management agreement must first be completed/ put in place with OCC to manage the common parts) </w:t>
      </w:r>
    </w:p>
    <w:p w14:paraId="3A18D6F2" w14:textId="4CB3C337" w:rsidR="004F1CAE" w:rsidRPr="004F1CAE" w:rsidRDefault="004F1CAE" w:rsidP="004F1CAE">
      <w:pPr>
        <w:pStyle w:val="ListParagraph"/>
        <w:rPr>
          <w:rFonts w:cs="Arial"/>
          <w:color w:val="000000"/>
          <w:szCs w:val="24"/>
        </w:rPr>
      </w:pPr>
      <w:r w:rsidRPr="004F1CAE">
        <w:rPr>
          <w:rFonts w:cs="Arial"/>
          <w:color w:val="000000"/>
          <w:szCs w:val="24"/>
        </w:rPr>
        <w:t xml:space="preserve">There </w:t>
      </w:r>
      <w:r>
        <w:rPr>
          <w:rFonts w:cs="Arial"/>
          <w:color w:val="000000"/>
          <w:szCs w:val="24"/>
        </w:rPr>
        <w:t>were</w:t>
      </w:r>
      <w:r w:rsidRPr="004F1CAE">
        <w:rPr>
          <w:rFonts w:cs="Arial"/>
          <w:color w:val="000000"/>
          <w:szCs w:val="24"/>
        </w:rPr>
        <w:t xml:space="preserve"> already delays in this project due to the need to agree a complex structure between the parties with external legal input and a number of stakeholder services involved. Matters ha</w:t>
      </w:r>
      <w:r>
        <w:rPr>
          <w:rFonts w:cs="Arial"/>
          <w:color w:val="000000"/>
          <w:szCs w:val="24"/>
        </w:rPr>
        <w:t>d</w:t>
      </w:r>
      <w:r w:rsidRPr="004F1CAE">
        <w:rPr>
          <w:rFonts w:cs="Arial"/>
          <w:color w:val="000000"/>
          <w:szCs w:val="24"/>
        </w:rPr>
        <w:t xml:space="preserve"> become further protracted due to delays with utility providers providing connections. This ha</w:t>
      </w:r>
      <w:r>
        <w:rPr>
          <w:rFonts w:cs="Arial"/>
          <w:color w:val="000000"/>
          <w:szCs w:val="24"/>
        </w:rPr>
        <w:t>d</w:t>
      </w:r>
      <w:r w:rsidRPr="004F1CAE">
        <w:rPr>
          <w:rFonts w:cs="Arial"/>
          <w:color w:val="000000"/>
          <w:szCs w:val="24"/>
        </w:rPr>
        <w:t xml:space="preserve"> been a source of frustration for the flat purchasers and any further delay would risk:</w:t>
      </w:r>
    </w:p>
    <w:p w14:paraId="65FACFB0" w14:textId="77777777" w:rsidR="004F1CAE" w:rsidRPr="004F1CAE" w:rsidRDefault="004F1CAE" w:rsidP="004F1CAE">
      <w:pPr>
        <w:pStyle w:val="ListParagraph"/>
        <w:numPr>
          <w:ilvl w:val="1"/>
          <w:numId w:val="2"/>
        </w:numPr>
        <w:rPr>
          <w:rFonts w:cs="Arial"/>
          <w:color w:val="000000"/>
          <w:szCs w:val="24"/>
        </w:rPr>
      </w:pPr>
      <w:r w:rsidRPr="004F1CAE">
        <w:rPr>
          <w:rFonts w:cs="Arial"/>
          <w:color w:val="000000"/>
          <w:szCs w:val="24"/>
        </w:rPr>
        <w:t xml:space="preserve">losing purchasers and having to remarket some of the units; </w:t>
      </w:r>
    </w:p>
    <w:p w14:paraId="61FE819B" w14:textId="77777777" w:rsidR="004F1CAE" w:rsidRPr="004F1CAE" w:rsidRDefault="004F1CAE" w:rsidP="004F1CAE">
      <w:pPr>
        <w:pStyle w:val="ListParagraph"/>
        <w:numPr>
          <w:ilvl w:val="1"/>
          <w:numId w:val="2"/>
        </w:numPr>
        <w:rPr>
          <w:rFonts w:cs="Arial"/>
          <w:color w:val="000000"/>
          <w:szCs w:val="24"/>
        </w:rPr>
      </w:pPr>
      <w:r w:rsidRPr="004F1CAE">
        <w:rPr>
          <w:rFonts w:cs="Arial"/>
          <w:color w:val="000000"/>
          <w:szCs w:val="24"/>
        </w:rPr>
        <w:t>reputational damage to the Council (and OCHDL); and</w:t>
      </w:r>
    </w:p>
    <w:p w14:paraId="70CCDA5E" w14:textId="1395CD86" w:rsidR="004F1CAE" w:rsidRPr="004F1CAE" w:rsidRDefault="004F1CAE" w:rsidP="004F1CAE">
      <w:pPr>
        <w:pStyle w:val="ListParagraph"/>
        <w:numPr>
          <w:ilvl w:val="1"/>
          <w:numId w:val="2"/>
        </w:numPr>
        <w:rPr>
          <w:rFonts w:cs="Arial"/>
          <w:color w:val="000000"/>
          <w:szCs w:val="24"/>
        </w:rPr>
      </w:pPr>
      <w:r w:rsidRPr="004F1CAE">
        <w:rPr>
          <w:rFonts w:cs="Arial"/>
          <w:color w:val="000000"/>
          <w:szCs w:val="24"/>
        </w:rPr>
        <w:t>an impact on OCHDL receiving its monies and in turn paying its dividends to the Council</w:t>
      </w:r>
    </w:p>
    <w:p w14:paraId="0B79479E" w14:textId="77777777" w:rsidR="003F6E0F" w:rsidRPr="009677D8" w:rsidRDefault="003F6E0F" w:rsidP="00F86808">
      <w:pPr>
        <w:pStyle w:val="ListParagraph"/>
        <w:numPr>
          <w:ilvl w:val="0"/>
          <w:numId w:val="0"/>
        </w:numPr>
        <w:spacing w:after="0"/>
        <w:ind w:left="357"/>
        <w:rPr>
          <w:sz w:val="16"/>
          <w:szCs w:val="16"/>
        </w:rPr>
      </w:pPr>
    </w:p>
    <w:p w14:paraId="2A6E17DF" w14:textId="77777777" w:rsidR="00FF2BE1" w:rsidRDefault="00FF2BE1" w:rsidP="009677D8">
      <w:pPr>
        <w:pStyle w:val="ListParagraph"/>
        <w:numPr>
          <w:ilvl w:val="0"/>
          <w:numId w:val="0"/>
        </w:numPr>
        <w:spacing w:after="0"/>
        <w:ind w:left="357"/>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B12E70" w:rsidRPr="001356F1" w14:paraId="6BA48816" w14:textId="77777777" w:rsidTr="0024047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C968A92" w14:textId="77777777" w:rsidR="00B12E70" w:rsidRPr="001356F1" w:rsidRDefault="00B12E70" w:rsidP="0024047D">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64EE499" w14:textId="236DD595" w:rsidR="00B12E70" w:rsidRPr="001356F1" w:rsidRDefault="00851853" w:rsidP="0024047D">
            <w:r>
              <w:t>Jonathan Malton</w:t>
            </w:r>
          </w:p>
        </w:tc>
      </w:tr>
      <w:tr w:rsidR="00B12E70" w:rsidRPr="001356F1" w14:paraId="60EBD065" w14:textId="77777777" w:rsidTr="0024047D">
        <w:trPr>
          <w:cantSplit/>
          <w:trHeight w:val="396"/>
        </w:trPr>
        <w:tc>
          <w:tcPr>
            <w:tcW w:w="3969" w:type="dxa"/>
            <w:tcBorders>
              <w:top w:val="single" w:sz="8" w:space="0" w:color="000000"/>
              <w:left w:val="single" w:sz="8" w:space="0" w:color="000000"/>
              <w:bottom w:val="nil"/>
              <w:right w:val="nil"/>
            </w:tcBorders>
            <w:shd w:val="clear" w:color="auto" w:fill="auto"/>
          </w:tcPr>
          <w:p w14:paraId="2205B146" w14:textId="77777777" w:rsidR="00B12E70" w:rsidRPr="001356F1" w:rsidRDefault="00B12E70" w:rsidP="0024047D">
            <w:r w:rsidRPr="001356F1">
              <w:t>Job title</w:t>
            </w:r>
          </w:p>
        </w:tc>
        <w:tc>
          <w:tcPr>
            <w:tcW w:w="4962" w:type="dxa"/>
            <w:tcBorders>
              <w:top w:val="single" w:sz="8" w:space="0" w:color="000000"/>
              <w:left w:val="nil"/>
              <w:bottom w:val="nil"/>
              <w:right w:val="single" w:sz="8" w:space="0" w:color="000000"/>
            </w:tcBorders>
            <w:shd w:val="clear" w:color="auto" w:fill="auto"/>
          </w:tcPr>
          <w:p w14:paraId="4F6E98E1" w14:textId="783A3DB1" w:rsidR="00B12E70" w:rsidRPr="001356F1" w:rsidRDefault="00851853" w:rsidP="0024047D">
            <w:r>
              <w:t>Committee and Member Services Manager</w:t>
            </w:r>
          </w:p>
        </w:tc>
      </w:tr>
      <w:tr w:rsidR="00B12E70" w:rsidRPr="001356F1" w14:paraId="31604DF2" w14:textId="77777777" w:rsidTr="0024047D">
        <w:trPr>
          <w:cantSplit/>
          <w:trHeight w:val="396"/>
        </w:trPr>
        <w:tc>
          <w:tcPr>
            <w:tcW w:w="3969" w:type="dxa"/>
            <w:tcBorders>
              <w:top w:val="nil"/>
              <w:left w:val="single" w:sz="8" w:space="0" w:color="000000"/>
              <w:bottom w:val="nil"/>
              <w:right w:val="nil"/>
            </w:tcBorders>
            <w:shd w:val="clear" w:color="auto" w:fill="auto"/>
          </w:tcPr>
          <w:p w14:paraId="51A698AB" w14:textId="77777777" w:rsidR="00B12E70" w:rsidRPr="001356F1" w:rsidRDefault="00B12E70" w:rsidP="0024047D">
            <w:r w:rsidRPr="001356F1">
              <w:t>Service area or department</w:t>
            </w:r>
          </w:p>
        </w:tc>
        <w:tc>
          <w:tcPr>
            <w:tcW w:w="4962" w:type="dxa"/>
            <w:tcBorders>
              <w:top w:val="nil"/>
              <w:left w:val="nil"/>
              <w:bottom w:val="nil"/>
              <w:right w:val="single" w:sz="8" w:space="0" w:color="000000"/>
            </w:tcBorders>
            <w:shd w:val="clear" w:color="auto" w:fill="auto"/>
          </w:tcPr>
          <w:p w14:paraId="7F3BBA20" w14:textId="77777777" w:rsidR="00B12E70" w:rsidRPr="001356F1" w:rsidRDefault="00B12E70" w:rsidP="0024047D">
            <w:r>
              <w:t>Law and Governance</w:t>
            </w:r>
          </w:p>
        </w:tc>
      </w:tr>
      <w:tr w:rsidR="00B12E70" w:rsidRPr="001356F1" w14:paraId="0F2CAFA6" w14:textId="77777777" w:rsidTr="0024047D">
        <w:trPr>
          <w:cantSplit/>
          <w:trHeight w:val="396"/>
        </w:trPr>
        <w:tc>
          <w:tcPr>
            <w:tcW w:w="3969" w:type="dxa"/>
            <w:tcBorders>
              <w:top w:val="nil"/>
              <w:left w:val="single" w:sz="8" w:space="0" w:color="000000"/>
              <w:bottom w:val="nil"/>
              <w:right w:val="nil"/>
            </w:tcBorders>
            <w:shd w:val="clear" w:color="auto" w:fill="auto"/>
          </w:tcPr>
          <w:p w14:paraId="569AFB2E" w14:textId="77777777" w:rsidR="00B12E70" w:rsidRPr="001356F1" w:rsidRDefault="00B12E70" w:rsidP="0024047D">
            <w:r w:rsidRPr="001356F1">
              <w:t xml:space="preserve">Telephone </w:t>
            </w:r>
          </w:p>
        </w:tc>
        <w:tc>
          <w:tcPr>
            <w:tcW w:w="4962" w:type="dxa"/>
            <w:tcBorders>
              <w:top w:val="nil"/>
              <w:left w:val="nil"/>
              <w:bottom w:val="nil"/>
              <w:right w:val="single" w:sz="8" w:space="0" w:color="000000"/>
            </w:tcBorders>
            <w:shd w:val="clear" w:color="auto" w:fill="auto"/>
          </w:tcPr>
          <w:p w14:paraId="12A2EB61" w14:textId="1C2A35D3" w:rsidR="00B12E70" w:rsidRPr="001356F1" w:rsidRDefault="00B12E70" w:rsidP="0086769B">
            <w:r>
              <w:t xml:space="preserve">01865 </w:t>
            </w:r>
            <w:r w:rsidR="0086769B">
              <w:t>529</w:t>
            </w:r>
            <w:r w:rsidR="00851853">
              <w:t>117</w:t>
            </w:r>
          </w:p>
        </w:tc>
      </w:tr>
      <w:tr w:rsidR="00B12E70" w:rsidRPr="001356F1" w14:paraId="54D3941C" w14:textId="77777777" w:rsidTr="0024047D">
        <w:trPr>
          <w:cantSplit/>
          <w:trHeight w:val="396"/>
        </w:trPr>
        <w:tc>
          <w:tcPr>
            <w:tcW w:w="3969" w:type="dxa"/>
            <w:tcBorders>
              <w:top w:val="nil"/>
              <w:left w:val="single" w:sz="8" w:space="0" w:color="000000"/>
              <w:bottom w:val="single" w:sz="8" w:space="0" w:color="000000"/>
              <w:right w:val="nil"/>
            </w:tcBorders>
            <w:shd w:val="clear" w:color="auto" w:fill="auto"/>
          </w:tcPr>
          <w:p w14:paraId="405B2AC0" w14:textId="77777777" w:rsidR="00B12E70" w:rsidRPr="001356F1" w:rsidRDefault="00B12E70" w:rsidP="0024047D">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483F17A" w14:textId="5826B6AC" w:rsidR="00851853" w:rsidRPr="001356F1" w:rsidRDefault="005B07A9" w:rsidP="00851853">
            <w:pPr>
              <w:rPr>
                <w:rStyle w:val="Hyperlink"/>
                <w:color w:val="000000"/>
              </w:rPr>
            </w:pPr>
            <w:hyperlink r:id="rId10" w:history="1">
              <w:r w:rsidR="00851853" w:rsidRPr="00AB3B0C">
                <w:rPr>
                  <w:rStyle w:val="Hyperlink"/>
                </w:rPr>
                <w:t>jmalton@oxford.gov.uk</w:t>
              </w:r>
            </w:hyperlink>
          </w:p>
        </w:tc>
      </w:tr>
    </w:tbl>
    <w:p w14:paraId="53E5D841" w14:textId="77777777" w:rsidR="00CB2FF8" w:rsidRPr="00561AED" w:rsidRDefault="00CB2FF8" w:rsidP="00CB2FF8">
      <w:pPr>
        <w:spacing w:after="0"/>
        <w:rPr>
          <w:rStyle w:val="Firstpagetablebold"/>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B2FF8" w:rsidRPr="001356F1" w14:paraId="03559635" w14:textId="77777777" w:rsidTr="00B01B1E">
        <w:tc>
          <w:tcPr>
            <w:tcW w:w="8931" w:type="dxa"/>
            <w:tcBorders>
              <w:top w:val="single" w:sz="4" w:space="0" w:color="auto"/>
              <w:left w:val="single" w:sz="4" w:space="0" w:color="auto"/>
              <w:bottom w:val="single" w:sz="8" w:space="0" w:color="000000"/>
              <w:right w:val="single" w:sz="4" w:space="0" w:color="auto"/>
            </w:tcBorders>
            <w:shd w:val="clear" w:color="auto" w:fill="auto"/>
          </w:tcPr>
          <w:p w14:paraId="33A60689" w14:textId="77777777" w:rsidR="00CB2FF8" w:rsidRPr="001356F1" w:rsidRDefault="00CB2FF8" w:rsidP="00FF2BE1">
            <w:r w:rsidRPr="001356F1">
              <w:rPr>
                <w:rStyle w:val="Firstpagetablebold"/>
              </w:rPr>
              <w:t xml:space="preserve">Background Papers: </w:t>
            </w:r>
            <w:r w:rsidRPr="0086769B">
              <w:rPr>
                <w:rStyle w:val="Firstpagetablebold"/>
                <w:b w:val="0"/>
              </w:rPr>
              <w:t>N</w:t>
            </w:r>
            <w:r w:rsidR="00FF2BE1" w:rsidRPr="0086769B">
              <w:rPr>
                <w:rStyle w:val="Firstpagetablebold"/>
                <w:b w:val="0"/>
              </w:rPr>
              <w:t>o</w:t>
            </w:r>
            <w:r w:rsidRPr="0086769B">
              <w:rPr>
                <w:rStyle w:val="Firstpagetablebold"/>
                <w:b w:val="0"/>
              </w:rPr>
              <w:t>ne</w:t>
            </w:r>
          </w:p>
        </w:tc>
      </w:tr>
    </w:tbl>
    <w:p w14:paraId="057019F8" w14:textId="77777777" w:rsidR="00CB2FF8" w:rsidRDefault="00CB2FF8" w:rsidP="00997C3E">
      <w:pPr>
        <w:spacing w:before="240" w:after="0"/>
        <w:rPr>
          <w:lang w:eastAsia="en-GB"/>
        </w:rPr>
      </w:pPr>
    </w:p>
    <w:sectPr w:rsidR="00CB2FF8" w:rsidSect="00D35A7A">
      <w:pgSz w:w="11907" w:h="16840" w:code="9"/>
      <w:pgMar w:top="1304" w:right="1304" w:bottom="1304" w:left="130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A9E0D" w14:textId="77777777" w:rsidR="00AD19D7" w:rsidRDefault="00AD19D7" w:rsidP="00BB4116">
      <w:r>
        <w:separator/>
      </w:r>
    </w:p>
    <w:p w14:paraId="5CFE4F08" w14:textId="77777777" w:rsidR="00AD19D7" w:rsidRDefault="00AD19D7" w:rsidP="00BB4116"/>
  </w:endnote>
  <w:endnote w:type="continuationSeparator" w:id="0">
    <w:p w14:paraId="3EB69E42" w14:textId="77777777" w:rsidR="00AD19D7" w:rsidRDefault="00AD19D7" w:rsidP="00BB4116">
      <w:r>
        <w:continuationSeparator/>
      </w:r>
    </w:p>
    <w:p w14:paraId="7EE22F5A" w14:textId="77777777" w:rsidR="00AD19D7" w:rsidRDefault="00AD19D7" w:rsidP="00BB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B775" w14:textId="77777777" w:rsidR="00AD19D7" w:rsidRDefault="00AD19D7" w:rsidP="00BB4116">
      <w:r>
        <w:separator/>
      </w:r>
    </w:p>
    <w:p w14:paraId="5534B33B" w14:textId="77777777" w:rsidR="00AD19D7" w:rsidRDefault="00AD19D7" w:rsidP="00BB4116"/>
  </w:footnote>
  <w:footnote w:type="continuationSeparator" w:id="0">
    <w:p w14:paraId="09D3D86B" w14:textId="77777777" w:rsidR="00AD19D7" w:rsidRDefault="00AD19D7" w:rsidP="00BB4116">
      <w:r>
        <w:continuationSeparator/>
      </w:r>
    </w:p>
    <w:p w14:paraId="1F223C5E" w14:textId="77777777" w:rsidR="00AD19D7" w:rsidRDefault="00AD19D7" w:rsidP="00BB41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2F8"/>
    <w:multiLevelType w:val="hybridMultilevel"/>
    <w:tmpl w:val="CEA8A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524390B"/>
    <w:multiLevelType w:val="hybridMultilevel"/>
    <w:tmpl w:val="BD087E06"/>
    <w:lvl w:ilvl="0" w:tplc="477E373E">
      <w:start w:val="1"/>
      <w:numFmt w:val="decimal"/>
      <w:pStyle w:val="ListParagraph"/>
      <w:lvlText w:val="%1."/>
      <w:lvlJc w:val="left"/>
      <w:pPr>
        <w:ind w:left="360" w:hanging="360"/>
      </w:pPr>
      <w:rPr>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F6267D"/>
    <w:multiLevelType w:val="hybridMultilevel"/>
    <w:tmpl w:val="79E8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6373E"/>
    <w:multiLevelType w:val="hybridMultilevel"/>
    <w:tmpl w:val="0AC0A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00B54"/>
    <w:multiLevelType w:val="hybridMultilevel"/>
    <w:tmpl w:val="89D085D8"/>
    <w:lvl w:ilvl="0" w:tplc="B394EA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80A09F3"/>
    <w:multiLevelType w:val="hybridMultilevel"/>
    <w:tmpl w:val="E162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4B6709"/>
    <w:multiLevelType w:val="hybridMultilevel"/>
    <w:tmpl w:val="E64A5C8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71505"/>
    <w:multiLevelType w:val="hybridMultilevel"/>
    <w:tmpl w:val="A4B66E96"/>
    <w:lvl w:ilvl="0" w:tplc="B394EA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BA2625"/>
    <w:multiLevelType w:val="hybridMultilevel"/>
    <w:tmpl w:val="4BDCB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910369"/>
    <w:multiLevelType w:val="hybridMultilevel"/>
    <w:tmpl w:val="08C486C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CE4A1C"/>
    <w:multiLevelType w:val="hybridMultilevel"/>
    <w:tmpl w:val="065EBA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A002398"/>
    <w:multiLevelType w:val="hybridMultilevel"/>
    <w:tmpl w:val="4156F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5014363">
    <w:abstractNumId w:val="1"/>
  </w:num>
  <w:num w:numId="2" w16cid:durableId="527253178">
    <w:abstractNumId w:val="2"/>
  </w:num>
  <w:num w:numId="3" w16cid:durableId="2063602184">
    <w:abstractNumId w:val="11"/>
  </w:num>
  <w:num w:numId="4" w16cid:durableId="773477287">
    <w:abstractNumId w:val="0"/>
  </w:num>
  <w:num w:numId="5" w16cid:durableId="1391415272">
    <w:abstractNumId w:val="6"/>
  </w:num>
  <w:num w:numId="6" w16cid:durableId="1226725779">
    <w:abstractNumId w:val="4"/>
  </w:num>
  <w:num w:numId="7" w16cid:durableId="918712673">
    <w:abstractNumId w:val="13"/>
  </w:num>
  <w:num w:numId="8" w16cid:durableId="337314465">
    <w:abstractNumId w:val="12"/>
  </w:num>
  <w:num w:numId="9" w16cid:durableId="2024816031">
    <w:abstractNumId w:val="9"/>
  </w:num>
  <w:num w:numId="10" w16cid:durableId="1216162968">
    <w:abstractNumId w:val="3"/>
  </w:num>
  <w:num w:numId="11" w16cid:durableId="1889220750">
    <w:abstractNumId w:val="10"/>
  </w:num>
  <w:num w:numId="12" w16cid:durableId="1761491045">
    <w:abstractNumId w:val="7"/>
  </w:num>
  <w:num w:numId="13" w16cid:durableId="2073843859">
    <w:abstractNumId w:val="5"/>
    <w:lvlOverride w:ilvl="0"/>
    <w:lvlOverride w:ilvl="1"/>
    <w:lvlOverride w:ilvl="2"/>
    <w:lvlOverride w:ilvl="3"/>
    <w:lvlOverride w:ilvl="4"/>
    <w:lvlOverride w:ilvl="5"/>
    <w:lvlOverride w:ilvl="6"/>
    <w:lvlOverride w:ilvl="7"/>
    <w:lvlOverride w:ilvl="8"/>
  </w:num>
  <w:num w:numId="14" w16cid:durableId="1939826978">
    <w:abstractNumId w:val="8"/>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426"/>
    <w:rsid w:val="0001361B"/>
    <w:rsid w:val="00056F01"/>
    <w:rsid w:val="000724E8"/>
    <w:rsid w:val="00094A2B"/>
    <w:rsid w:val="00096ECE"/>
    <w:rsid w:val="000C3011"/>
    <w:rsid w:val="000C759C"/>
    <w:rsid w:val="000E7DA1"/>
    <w:rsid w:val="00126867"/>
    <w:rsid w:val="00160FAB"/>
    <w:rsid w:val="00180C5D"/>
    <w:rsid w:val="001B5FDC"/>
    <w:rsid w:val="001D1097"/>
    <w:rsid w:val="001D2597"/>
    <w:rsid w:val="001E130C"/>
    <w:rsid w:val="0026383C"/>
    <w:rsid w:val="00286CF6"/>
    <w:rsid w:val="002B3296"/>
    <w:rsid w:val="002E3B5C"/>
    <w:rsid w:val="003323A8"/>
    <w:rsid w:val="00332664"/>
    <w:rsid w:val="0034201F"/>
    <w:rsid w:val="00347BAC"/>
    <w:rsid w:val="00347C6E"/>
    <w:rsid w:val="00371BAC"/>
    <w:rsid w:val="00371CBC"/>
    <w:rsid w:val="0037321D"/>
    <w:rsid w:val="00375F21"/>
    <w:rsid w:val="003C531A"/>
    <w:rsid w:val="003D56D2"/>
    <w:rsid w:val="003F00F0"/>
    <w:rsid w:val="003F0C65"/>
    <w:rsid w:val="003F6E0F"/>
    <w:rsid w:val="0043307F"/>
    <w:rsid w:val="004B32E1"/>
    <w:rsid w:val="004C2AAE"/>
    <w:rsid w:val="004C2CFE"/>
    <w:rsid w:val="004D29FE"/>
    <w:rsid w:val="004F1CAE"/>
    <w:rsid w:val="00501AB0"/>
    <w:rsid w:val="005043A3"/>
    <w:rsid w:val="00505CF6"/>
    <w:rsid w:val="005251E2"/>
    <w:rsid w:val="00560426"/>
    <w:rsid w:val="00561AED"/>
    <w:rsid w:val="005B07A9"/>
    <w:rsid w:val="005C1B66"/>
    <w:rsid w:val="00601D5A"/>
    <w:rsid w:val="0061040F"/>
    <w:rsid w:val="00660A3B"/>
    <w:rsid w:val="00684B85"/>
    <w:rsid w:val="006B7E29"/>
    <w:rsid w:val="006E23EA"/>
    <w:rsid w:val="0076343A"/>
    <w:rsid w:val="0077249A"/>
    <w:rsid w:val="007A7741"/>
    <w:rsid w:val="007C397B"/>
    <w:rsid w:val="007D79E8"/>
    <w:rsid w:val="007F17FA"/>
    <w:rsid w:val="00811BC4"/>
    <w:rsid w:val="00821101"/>
    <w:rsid w:val="00851853"/>
    <w:rsid w:val="0086234D"/>
    <w:rsid w:val="0086769B"/>
    <w:rsid w:val="00872697"/>
    <w:rsid w:val="008A2750"/>
    <w:rsid w:val="00914156"/>
    <w:rsid w:val="00931E27"/>
    <w:rsid w:val="009327DF"/>
    <w:rsid w:val="00956B3C"/>
    <w:rsid w:val="009677D8"/>
    <w:rsid w:val="009869E0"/>
    <w:rsid w:val="0099330A"/>
    <w:rsid w:val="00993F51"/>
    <w:rsid w:val="00997C3E"/>
    <w:rsid w:val="009A7B7D"/>
    <w:rsid w:val="009B76B7"/>
    <w:rsid w:val="009C0464"/>
    <w:rsid w:val="009C4B3B"/>
    <w:rsid w:val="009C6B0D"/>
    <w:rsid w:val="009E704F"/>
    <w:rsid w:val="00A21C38"/>
    <w:rsid w:val="00A31EFD"/>
    <w:rsid w:val="00A608BE"/>
    <w:rsid w:val="00A8230D"/>
    <w:rsid w:val="00A8732E"/>
    <w:rsid w:val="00AB5686"/>
    <w:rsid w:val="00AB6DD5"/>
    <w:rsid w:val="00AC22F7"/>
    <w:rsid w:val="00AD19D7"/>
    <w:rsid w:val="00AD1DCC"/>
    <w:rsid w:val="00AD66DD"/>
    <w:rsid w:val="00B12E70"/>
    <w:rsid w:val="00B30803"/>
    <w:rsid w:val="00B365E3"/>
    <w:rsid w:val="00B431BE"/>
    <w:rsid w:val="00B51E4C"/>
    <w:rsid w:val="00B946D4"/>
    <w:rsid w:val="00BB4116"/>
    <w:rsid w:val="00BB5A0C"/>
    <w:rsid w:val="00BC0170"/>
    <w:rsid w:val="00BC313A"/>
    <w:rsid w:val="00BC4998"/>
    <w:rsid w:val="00BC5094"/>
    <w:rsid w:val="00BE11BE"/>
    <w:rsid w:val="00C010D7"/>
    <w:rsid w:val="00C1481D"/>
    <w:rsid w:val="00C268EB"/>
    <w:rsid w:val="00C3663C"/>
    <w:rsid w:val="00C8732C"/>
    <w:rsid w:val="00CB1D9E"/>
    <w:rsid w:val="00CB2FF8"/>
    <w:rsid w:val="00CC2D82"/>
    <w:rsid w:val="00CD377E"/>
    <w:rsid w:val="00CF05DA"/>
    <w:rsid w:val="00D15B03"/>
    <w:rsid w:val="00D16297"/>
    <w:rsid w:val="00D17B1D"/>
    <w:rsid w:val="00D23270"/>
    <w:rsid w:val="00D3048C"/>
    <w:rsid w:val="00D35A7A"/>
    <w:rsid w:val="00D64BDE"/>
    <w:rsid w:val="00DB42E2"/>
    <w:rsid w:val="00DB59F5"/>
    <w:rsid w:val="00DC3B68"/>
    <w:rsid w:val="00DF30A4"/>
    <w:rsid w:val="00E348EB"/>
    <w:rsid w:val="00E62B7B"/>
    <w:rsid w:val="00ED0FD4"/>
    <w:rsid w:val="00EF4BF4"/>
    <w:rsid w:val="00F74AEA"/>
    <w:rsid w:val="00F84561"/>
    <w:rsid w:val="00F86808"/>
    <w:rsid w:val="00F94AFA"/>
    <w:rsid w:val="00FB3246"/>
    <w:rsid w:val="00FF02B0"/>
    <w:rsid w:val="00FF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ABE3227"/>
  <w15:chartTrackingRefBased/>
  <w15:docId w15:val="{4B4E074A-310F-4DDB-8875-3D7E7B8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116"/>
    <w:pPr>
      <w:tabs>
        <w:tab w:val="left" w:pos="426"/>
      </w:tabs>
      <w:spacing w:after="120"/>
    </w:pPr>
    <w:rPr>
      <w:rFonts w:ascii="Arial" w:hAnsi="Arial"/>
      <w:sz w:val="24"/>
      <w:lang w:eastAsia="en-US"/>
    </w:rPr>
  </w:style>
  <w:style w:type="paragraph" w:styleId="Heading1">
    <w:name w:val="heading 1"/>
    <w:basedOn w:val="Normal"/>
    <w:next w:val="Normal"/>
    <w:qFormat/>
    <w:rsid w:val="00BB4116"/>
    <w:pPr>
      <w:spacing w:before="100" w:beforeAutospacing="1" w:after="100" w:afterAutospacing="1"/>
      <w:outlineLvl w:val="0"/>
    </w:pPr>
    <w:rPr>
      <w:rFonts w:eastAsia="Arial Unicode MS" w:cs="Arial"/>
      <w:b/>
      <w:szCs w:val="22"/>
    </w:rPr>
  </w:style>
  <w:style w:type="paragraph" w:styleId="Heading2">
    <w:name w:val="heading 2"/>
    <w:basedOn w:val="Normal"/>
    <w:next w:val="Normal"/>
    <w:qFormat/>
    <w:pPr>
      <w:keepNext/>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jc w:val="both"/>
    </w:pPr>
    <w:rPr>
      <w:lang w:val="x-none"/>
    </w:rPr>
  </w:style>
  <w:style w:type="paragraph" w:customStyle="1" w:styleId="indent1">
    <w:name w:val="indent1"/>
    <w:basedOn w:val="Normal"/>
    <w:pPr>
      <w:tabs>
        <w:tab w:val="left" w:pos="720"/>
        <w:tab w:val="left" w:pos="1440"/>
      </w:tabs>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spacing w:after="240"/>
      <w:ind w:left="720"/>
      <w:jc w:val="both"/>
    </w:pPr>
    <w:rPr>
      <w:sz w:val="22"/>
    </w:rPr>
  </w:style>
  <w:style w:type="paragraph" w:styleId="Title">
    <w:name w:val="Title"/>
    <w:basedOn w:val="Normal"/>
    <w:qFormat/>
    <w:pPr>
      <w:spacing w:after="0"/>
      <w:jc w:val="center"/>
      <w:outlineLvl w:val="0"/>
    </w:pPr>
    <w:rPr>
      <w:b/>
    </w:rPr>
  </w:style>
  <w:style w:type="paragraph" w:styleId="BodyTextIndent">
    <w:name w:val="Body Text Indent"/>
    <w:basedOn w:val="Normal"/>
    <w:pPr>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semiHidden/>
    <w:unhideWhenUsed/>
    <w:rsid w:val="003D70BA"/>
    <w:pPr>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paragraph" w:customStyle="1" w:styleId="Normal1">
    <w:name w:val="Normal_1"/>
    <w:rsid w:val="00561E4E"/>
    <w:pPr>
      <w:overflowPunct w:val="0"/>
      <w:autoSpaceDE w:val="0"/>
      <w:autoSpaceDN w:val="0"/>
      <w:adjustRightInd w:val="0"/>
      <w:textAlignment w:val="baseline"/>
    </w:pPr>
    <w:rPr>
      <w:rFonts w:ascii="Arial" w:hAnsi="Arial"/>
      <w:sz w:val="22"/>
      <w:lang w:eastAsia="en-US"/>
    </w:rPr>
  </w:style>
  <w:style w:type="paragraph" w:customStyle="1" w:styleId="TableParagraph">
    <w:name w:val="Table Paragraph"/>
    <w:basedOn w:val="Normal"/>
    <w:uiPriority w:val="1"/>
    <w:qFormat/>
    <w:pPr>
      <w:widowControl w:val="0"/>
      <w:autoSpaceDE w:val="0"/>
      <w:autoSpaceDN w:val="0"/>
      <w:ind w:left="105"/>
    </w:pPr>
    <w:rPr>
      <w:rFonts w:eastAsia="Arial" w:cs="Arial"/>
      <w:sz w:val="22"/>
      <w:szCs w:val="22"/>
      <w:lang w:bidi="en-GB"/>
    </w:rPr>
  </w:style>
  <w:style w:type="paragraph" w:styleId="ListParagraph">
    <w:name w:val="List Paragraph"/>
    <w:basedOn w:val="Normal"/>
    <w:link w:val="ListParagraphChar"/>
    <w:uiPriority w:val="34"/>
    <w:qFormat/>
    <w:rsid w:val="00BB4116"/>
    <w:pPr>
      <w:numPr>
        <w:numId w:val="2"/>
      </w:numPr>
    </w:pPr>
  </w:style>
  <w:style w:type="paragraph" w:customStyle="1" w:styleId="Normal2">
    <w:name w:val="Normal_2"/>
    <w:rsid w:val="00561E4E"/>
    <w:pPr>
      <w:overflowPunct w:val="0"/>
      <w:autoSpaceDE w:val="0"/>
      <w:autoSpaceDN w:val="0"/>
      <w:adjustRightInd w:val="0"/>
      <w:textAlignment w:val="baseline"/>
    </w:pPr>
    <w:rPr>
      <w:rFonts w:ascii="Arial" w:hAnsi="Arial"/>
      <w:sz w:val="22"/>
      <w:lang w:eastAsia="en-US"/>
    </w:rPr>
  </w:style>
  <w:style w:type="paragraph" w:customStyle="1" w:styleId="Normal3">
    <w:name w:val="Normal_3"/>
    <w:rsid w:val="00561E4E"/>
    <w:pPr>
      <w:overflowPunct w:val="0"/>
      <w:autoSpaceDE w:val="0"/>
      <w:autoSpaceDN w:val="0"/>
      <w:adjustRightInd w:val="0"/>
      <w:textAlignment w:val="baseline"/>
    </w:pPr>
    <w:rPr>
      <w:rFonts w:ascii="Arial" w:hAnsi="Arial"/>
      <w:sz w:val="22"/>
      <w:lang w:eastAsia="en-US"/>
    </w:rPr>
  </w:style>
  <w:style w:type="paragraph" w:customStyle="1" w:styleId="Normal4">
    <w:name w:val="Normal_4"/>
    <w:rsid w:val="00561E4E"/>
    <w:pPr>
      <w:overflowPunct w:val="0"/>
      <w:autoSpaceDE w:val="0"/>
      <w:autoSpaceDN w:val="0"/>
      <w:adjustRightInd w:val="0"/>
      <w:textAlignment w:val="baseline"/>
    </w:pPr>
    <w:rPr>
      <w:rFonts w:ascii="Arial" w:hAnsi="Arial"/>
      <w:sz w:val="22"/>
      <w:lang w:eastAsia="en-US"/>
    </w:rPr>
  </w:style>
  <w:style w:type="paragraph" w:customStyle="1" w:styleId="Normal5">
    <w:name w:val="Normal_5"/>
    <w:rsid w:val="00561E4E"/>
    <w:pPr>
      <w:overflowPunct w:val="0"/>
      <w:autoSpaceDE w:val="0"/>
      <w:autoSpaceDN w:val="0"/>
      <w:adjustRightInd w:val="0"/>
      <w:textAlignment w:val="baseline"/>
    </w:pPr>
    <w:rPr>
      <w:rFonts w:ascii="Arial" w:hAnsi="Arial"/>
      <w:sz w:val="22"/>
      <w:lang w:eastAsia="en-US"/>
    </w:rPr>
  </w:style>
  <w:style w:type="paragraph" w:customStyle="1" w:styleId="Normal6">
    <w:name w:val="Normal_6"/>
    <w:rsid w:val="00561E4E"/>
    <w:pPr>
      <w:overflowPunct w:val="0"/>
      <w:autoSpaceDE w:val="0"/>
      <w:autoSpaceDN w:val="0"/>
      <w:adjustRightInd w:val="0"/>
      <w:textAlignment w:val="baseline"/>
    </w:pPr>
    <w:rPr>
      <w:rFonts w:ascii="Arial" w:hAnsi="Arial"/>
      <w:sz w:val="22"/>
      <w:lang w:eastAsia="en-US"/>
    </w:rPr>
  </w:style>
  <w:style w:type="paragraph" w:customStyle="1" w:styleId="Normal7">
    <w:name w:val="Normal_7"/>
    <w:rsid w:val="00561E4E"/>
    <w:pPr>
      <w:overflowPunct w:val="0"/>
      <w:autoSpaceDE w:val="0"/>
      <w:autoSpaceDN w:val="0"/>
      <w:adjustRightInd w:val="0"/>
      <w:textAlignment w:val="baseline"/>
    </w:pPr>
    <w:rPr>
      <w:rFonts w:ascii="Arial" w:hAnsi="Arial"/>
      <w:sz w:val="22"/>
      <w:lang w:eastAsia="en-US"/>
    </w:rPr>
  </w:style>
  <w:style w:type="paragraph" w:customStyle="1" w:styleId="Normal8">
    <w:name w:val="Normal_8"/>
    <w:rsid w:val="00561E4E"/>
    <w:pPr>
      <w:overflowPunct w:val="0"/>
      <w:autoSpaceDE w:val="0"/>
      <w:autoSpaceDN w:val="0"/>
      <w:adjustRightInd w:val="0"/>
      <w:textAlignment w:val="baseline"/>
    </w:pPr>
    <w:rPr>
      <w:rFonts w:ascii="Arial" w:hAnsi="Arial"/>
      <w:sz w:val="22"/>
      <w:lang w:eastAsia="en-US"/>
    </w:rPr>
  </w:style>
  <w:style w:type="paragraph" w:customStyle="1" w:styleId="Normal9">
    <w:name w:val="Normal_9"/>
    <w:rsid w:val="00561E4E"/>
    <w:pPr>
      <w:overflowPunct w:val="0"/>
      <w:autoSpaceDE w:val="0"/>
      <w:autoSpaceDN w:val="0"/>
      <w:adjustRightInd w:val="0"/>
      <w:textAlignment w:val="baseline"/>
    </w:pPr>
    <w:rPr>
      <w:rFonts w:ascii="Arial" w:hAnsi="Arial"/>
      <w:sz w:val="22"/>
      <w:lang w:eastAsia="en-US"/>
    </w:rPr>
  </w:style>
  <w:style w:type="paragraph" w:customStyle="1" w:styleId="Normal10">
    <w:name w:val="Normal_10"/>
    <w:rsid w:val="00561E4E"/>
    <w:pPr>
      <w:overflowPunct w:val="0"/>
      <w:autoSpaceDE w:val="0"/>
      <w:autoSpaceDN w:val="0"/>
      <w:adjustRightInd w:val="0"/>
      <w:textAlignment w:val="baseline"/>
    </w:pPr>
    <w:rPr>
      <w:rFonts w:ascii="Arial" w:hAnsi="Arial"/>
      <w:sz w:val="22"/>
      <w:lang w:eastAsia="en-US"/>
    </w:rPr>
  </w:style>
  <w:style w:type="paragraph" w:customStyle="1" w:styleId="Normal11">
    <w:name w:val="Normal_11"/>
    <w:rsid w:val="00561E4E"/>
    <w:pPr>
      <w:overflowPunct w:val="0"/>
      <w:autoSpaceDE w:val="0"/>
      <w:autoSpaceDN w:val="0"/>
      <w:adjustRightInd w:val="0"/>
      <w:textAlignment w:val="baseline"/>
    </w:pPr>
    <w:rPr>
      <w:rFonts w:ascii="Arial" w:hAnsi="Arial"/>
      <w:sz w:val="22"/>
      <w:lang w:eastAsia="en-US"/>
    </w:rPr>
  </w:style>
  <w:style w:type="paragraph" w:customStyle="1" w:styleId="Normal12">
    <w:name w:val="Normal_12"/>
    <w:rsid w:val="00561E4E"/>
    <w:pPr>
      <w:overflowPunct w:val="0"/>
      <w:autoSpaceDE w:val="0"/>
      <w:autoSpaceDN w:val="0"/>
      <w:adjustRightInd w:val="0"/>
      <w:textAlignment w:val="baseline"/>
    </w:pPr>
    <w:rPr>
      <w:rFonts w:ascii="Arial" w:hAnsi="Arial"/>
      <w:sz w:val="22"/>
      <w:lang w:eastAsia="en-US"/>
    </w:rPr>
  </w:style>
  <w:style w:type="character" w:customStyle="1" w:styleId="spelle">
    <w:name w:val="spelle"/>
    <w:basedOn w:val="DefaultParagraphFont"/>
    <w:rsid w:val="00DB42E2"/>
  </w:style>
  <w:style w:type="character" w:customStyle="1" w:styleId="Firstpagetablebold">
    <w:name w:val="First page table: bold"/>
    <w:qFormat/>
    <w:rsid w:val="00BB4116"/>
    <w:rPr>
      <w:rFonts w:ascii="Arial" w:hAnsi="Arial" w:cs="Arial" w:hint="default"/>
      <w:b/>
      <w:bCs w:val="0"/>
      <w:sz w:val="24"/>
    </w:rPr>
  </w:style>
  <w:style w:type="character" w:customStyle="1" w:styleId="ListParagraphChar">
    <w:name w:val="List Paragraph Char"/>
    <w:link w:val="ListParagraph"/>
    <w:uiPriority w:val="34"/>
    <w:locked/>
    <w:rsid w:val="00BB4116"/>
    <w:rPr>
      <w:rFonts w:ascii="Arial" w:hAnsi="Arial"/>
      <w:sz w:val="24"/>
      <w:lang w:eastAsia="en-US"/>
    </w:rPr>
  </w:style>
  <w:style w:type="numbering" w:customStyle="1" w:styleId="StyleNumberedLeft0cmHanging075cm">
    <w:name w:val="Style Numbered Left:  0 cm Hanging:  0.75 cm"/>
    <w:rsid w:val="00BB4116"/>
    <w:pPr>
      <w:numPr>
        <w:numId w:val="1"/>
      </w:numPr>
    </w:pPr>
  </w:style>
  <w:style w:type="paragraph" w:customStyle="1" w:styleId="Normal14">
    <w:name w:val="Normal_14"/>
    <w:qFormat/>
    <w:rsid w:val="005C1B66"/>
    <w:pPr>
      <w:overflowPunct w:val="0"/>
      <w:autoSpaceDE w:val="0"/>
      <w:autoSpaceDN w:val="0"/>
      <w:adjustRightInd w:val="0"/>
      <w:textAlignment w:val="baseline"/>
    </w:pPr>
    <w:rPr>
      <w:rFonts w:ascii="Arial" w:hAnsi="Arial"/>
      <w:sz w:val="22"/>
      <w:lang w:eastAsia="en-US"/>
    </w:rPr>
  </w:style>
  <w:style w:type="paragraph" w:customStyle="1" w:styleId="Normal15">
    <w:name w:val="Normal_15"/>
    <w:qFormat/>
    <w:rsid w:val="005C1B66"/>
    <w:pPr>
      <w:overflowPunct w:val="0"/>
      <w:autoSpaceDE w:val="0"/>
      <w:autoSpaceDN w:val="0"/>
      <w:adjustRightInd w:val="0"/>
      <w:textAlignment w:val="baseline"/>
    </w:pPr>
    <w:rPr>
      <w:rFonts w:ascii="Arial" w:hAnsi="Arial"/>
      <w:sz w:val="22"/>
      <w:lang w:eastAsia="en-US"/>
    </w:rPr>
  </w:style>
  <w:style w:type="paragraph" w:customStyle="1" w:styleId="Normal16">
    <w:name w:val="Normal_16"/>
    <w:qFormat/>
    <w:rsid w:val="005C1B66"/>
    <w:pPr>
      <w:overflowPunct w:val="0"/>
      <w:autoSpaceDE w:val="0"/>
      <w:autoSpaceDN w:val="0"/>
      <w:adjustRightInd w:val="0"/>
      <w:textAlignment w:val="baseline"/>
    </w:pPr>
    <w:rPr>
      <w:rFonts w:ascii="Arial" w:hAnsi="Arial"/>
      <w:sz w:val="22"/>
      <w:lang w:eastAsia="en-US"/>
    </w:rPr>
  </w:style>
  <w:style w:type="paragraph" w:customStyle="1" w:styleId="Normal17">
    <w:name w:val="Normal_17"/>
    <w:qFormat/>
    <w:rsid w:val="00CC2D82"/>
    <w:pPr>
      <w:overflowPunct w:val="0"/>
      <w:autoSpaceDE w:val="0"/>
      <w:autoSpaceDN w:val="0"/>
      <w:adjustRightInd w:val="0"/>
      <w:textAlignment w:val="baseline"/>
    </w:pPr>
    <w:rPr>
      <w:rFonts w:ascii="Arial" w:hAnsi="Arial"/>
      <w:sz w:val="22"/>
      <w:lang w:eastAsia="en-US"/>
    </w:rPr>
  </w:style>
  <w:style w:type="paragraph" w:styleId="BalloonText">
    <w:name w:val="Balloon Text"/>
    <w:basedOn w:val="Normal"/>
    <w:link w:val="BalloonTextChar"/>
    <w:uiPriority w:val="99"/>
    <w:semiHidden/>
    <w:unhideWhenUsed/>
    <w:rsid w:val="009869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9E0"/>
    <w:rPr>
      <w:rFonts w:ascii="Segoe UI" w:hAnsi="Segoe UI" w:cs="Segoe UI"/>
      <w:sz w:val="18"/>
      <w:szCs w:val="18"/>
      <w:lang w:eastAsia="en-US"/>
    </w:rPr>
  </w:style>
  <w:style w:type="paragraph" w:customStyle="1" w:styleId="Default">
    <w:name w:val="Default"/>
    <w:rsid w:val="0086769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251E2"/>
    <w:rPr>
      <w:sz w:val="16"/>
      <w:szCs w:val="16"/>
    </w:rPr>
  </w:style>
  <w:style w:type="paragraph" w:styleId="CommentText">
    <w:name w:val="annotation text"/>
    <w:basedOn w:val="Normal"/>
    <w:link w:val="CommentTextChar"/>
    <w:uiPriority w:val="99"/>
    <w:semiHidden/>
    <w:unhideWhenUsed/>
    <w:rsid w:val="005251E2"/>
    <w:rPr>
      <w:sz w:val="20"/>
    </w:rPr>
  </w:style>
  <w:style w:type="character" w:customStyle="1" w:styleId="CommentTextChar">
    <w:name w:val="Comment Text Char"/>
    <w:basedOn w:val="DefaultParagraphFont"/>
    <w:link w:val="CommentText"/>
    <w:uiPriority w:val="99"/>
    <w:semiHidden/>
    <w:rsid w:val="005251E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51E2"/>
    <w:rPr>
      <w:b/>
      <w:bCs/>
    </w:rPr>
  </w:style>
  <w:style w:type="character" w:customStyle="1" w:styleId="CommentSubjectChar">
    <w:name w:val="Comment Subject Char"/>
    <w:basedOn w:val="CommentTextChar"/>
    <w:link w:val="CommentSubject"/>
    <w:uiPriority w:val="99"/>
    <w:semiHidden/>
    <w:rsid w:val="005251E2"/>
    <w:rPr>
      <w:rFonts w:ascii="Arial" w:hAnsi="Arial"/>
      <w:b/>
      <w:bCs/>
      <w:lang w:eastAsia="en-US"/>
    </w:rPr>
  </w:style>
  <w:style w:type="character" w:styleId="UnresolvedMention">
    <w:name w:val="Unresolved Mention"/>
    <w:basedOn w:val="DefaultParagraphFont"/>
    <w:uiPriority w:val="99"/>
    <w:semiHidden/>
    <w:unhideWhenUsed/>
    <w:rsid w:val="00851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79476">
      <w:bodyDiv w:val="1"/>
      <w:marLeft w:val="0"/>
      <w:marRight w:val="0"/>
      <w:marTop w:val="0"/>
      <w:marBottom w:val="0"/>
      <w:divBdr>
        <w:top w:val="none" w:sz="0" w:space="0" w:color="auto"/>
        <w:left w:val="none" w:sz="0" w:space="0" w:color="auto"/>
        <w:bottom w:val="none" w:sz="0" w:space="0" w:color="auto"/>
        <w:right w:val="none" w:sz="0" w:space="0" w:color="auto"/>
      </w:divBdr>
    </w:div>
    <w:div w:id="264119332">
      <w:bodyDiv w:val="1"/>
      <w:marLeft w:val="0"/>
      <w:marRight w:val="0"/>
      <w:marTop w:val="0"/>
      <w:marBottom w:val="0"/>
      <w:divBdr>
        <w:top w:val="none" w:sz="0" w:space="0" w:color="auto"/>
        <w:left w:val="none" w:sz="0" w:space="0" w:color="auto"/>
        <w:bottom w:val="none" w:sz="0" w:space="0" w:color="auto"/>
        <w:right w:val="none" w:sz="0" w:space="0" w:color="auto"/>
      </w:divBdr>
    </w:div>
    <w:div w:id="300964134">
      <w:bodyDiv w:val="1"/>
      <w:marLeft w:val="0"/>
      <w:marRight w:val="0"/>
      <w:marTop w:val="0"/>
      <w:marBottom w:val="0"/>
      <w:divBdr>
        <w:top w:val="none" w:sz="0" w:space="0" w:color="auto"/>
        <w:left w:val="none" w:sz="0" w:space="0" w:color="auto"/>
        <w:bottom w:val="none" w:sz="0" w:space="0" w:color="auto"/>
        <w:right w:val="none" w:sz="0" w:space="0" w:color="auto"/>
      </w:divBdr>
    </w:div>
    <w:div w:id="349184844">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956066716">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15468858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230459725">
      <w:bodyDiv w:val="1"/>
      <w:marLeft w:val="0"/>
      <w:marRight w:val="0"/>
      <w:marTop w:val="0"/>
      <w:marBottom w:val="0"/>
      <w:divBdr>
        <w:top w:val="none" w:sz="0" w:space="0" w:color="auto"/>
        <w:left w:val="none" w:sz="0" w:space="0" w:color="auto"/>
        <w:bottom w:val="none" w:sz="0" w:space="0" w:color="auto"/>
        <w:right w:val="none" w:sz="0" w:space="0" w:color="auto"/>
      </w:divBdr>
    </w:div>
    <w:div w:id="1465199682">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68508668">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19889305">
      <w:bodyDiv w:val="1"/>
      <w:marLeft w:val="0"/>
      <w:marRight w:val="0"/>
      <w:marTop w:val="0"/>
      <w:marBottom w:val="0"/>
      <w:divBdr>
        <w:top w:val="none" w:sz="0" w:space="0" w:color="auto"/>
        <w:left w:val="none" w:sz="0" w:space="0" w:color="auto"/>
        <w:bottom w:val="none" w:sz="0" w:space="0" w:color="auto"/>
        <w:right w:val="none" w:sz="0" w:space="0" w:color="auto"/>
      </w:divBdr>
    </w:div>
    <w:div w:id="2042822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malton@oxford.gov.uk" TargetMode="Externa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4A1C1-B960-4C6F-B47D-35CABA78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1335</Words>
  <Characters>6706</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Forward Plan, Test decision digest 2020 Decisions Digest Document 01/05/2020</vt:lpstr>
    </vt:vector>
  </TitlesOfParts>
  <Company/>
  <LinksUpToDate>false</LinksUpToDate>
  <CharactersWithSpaces>8025</CharactersWithSpaces>
  <SharedDoc>false</SharedDoc>
  <HLinks>
    <vt:vector size="6" baseType="variant">
      <vt:variant>
        <vt:i4>2687043</vt:i4>
      </vt:variant>
      <vt:variant>
        <vt:i4>-1</vt:i4>
      </vt:variant>
      <vt:variant>
        <vt:i4>1025</vt:i4>
      </vt:variant>
      <vt:variant>
        <vt:i4>1</vt:i4>
      </vt:variant>
      <vt:variant>
        <vt:lpwstr>http://insideocc/styleguide/logos/occ_blk.jpg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Plan, Test decision digest 2020 Decisions Digest Document 01/05/2020</dc:title>
  <dc:subject/>
  <dc:creator>Oxford City Council</dc:creator>
  <cp:keywords>Council meetings;Government, politics and public administration; Local government; Decision making; Council meetings;</cp:keywords>
  <dc:description/>
  <cp:lastModifiedBy>MALTON Jonathan</cp:lastModifiedBy>
  <cp:revision>6</cp:revision>
  <cp:lastPrinted>2015-07-24T10:00:00Z</cp:lastPrinted>
  <dcterms:created xsi:type="dcterms:W3CDTF">2023-11-13T17:09:00Z</dcterms:created>
  <dcterms:modified xsi:type="dcterms:W3CDTF">2023-11-14T12:27:00Z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31 August 2020</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2020</vt:lpwstr>
  </property>
</Properties>
</file>